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2E58" w:rsidRPr="006B3CD6" w:rsidRDefault="00532E58" w:rsidP="00532E58">
      <w:pPr>
        <w:adjustRightInd w:val="0"/>
        <w:snapToGrid w:val="0"/>
        <w:spacing w:line="360" w:lineRule="auto"/>
        <w:jc w:val="center"/>
        <w:rPr>
          <w:rFonts w:ascii="宋体" w:eastAsia="宋体" w:hAnsi="宋体" w:cs="Times New Roman"/>
          <w:b/>
          <w:color w:val="000000"/>
          <w:sz w:val="36"/>
          <w:szCs w:val="36"/>
        </w:rPr>
      </w:pPr>
    </w:p>
    <w:p w:rsidR="00532E58" w:rsidRPr="006B3CD6" w:rsidRDefault="00532E58" w:rsidP="00532E58">
      <w:pPr>
        <w:adjustRightInd w:val="0"/>
        <w:snapToGrid w:val="0"/>
        <w:spacing w:line="360" w:lineRule="auto"/>
        <w:jc w:val="center"/>
        <w:rPr>
          <w:rFonts w:asciiTheme="majorEastAsia" w:eastAsiaTheme="majorEastAsia" w:hAnsiTheme="majorEastAsia" w:cs="Times New Roman"/>
          <w:b/>
          <w:color w:val="000000"/>
          <w:sz w:val="36"/>
          <w:szCs w:val="36"/>
        </w:rPr>
      </w:pPr>
      <w:r w:rsidRPr="006B3CD6">
        <w:rPr>
          <w:rFonts w:asciiTheme="majorEastAsia" w:eastAsiaTheme="majorEastAsia" w:hAnsiTheme="majorEastAsia" w:cs="Times New Roman" w:hint="eastAsia"/>
          <w:b/>
          <w:color w:val="000000"/>
          <w:sz w:val="36"/>
          <w:szCs w:val="36"/>
        </w:rPr>
        <w:t>2021年甘肃省高等职业院校技能大赛</w:t>
      </w:r>
    </w:p>
    <w:p w:rsidR="00532E58" w:rsidRPr="006B3CD6" w:rsidRDefault="00532E58" w:rsidP="00532E58">
      <w:pPr>
        <w:adjustRightInd w:val="0"/>
        <w:snapToGrid w:val="0"/>
        <w:spacing w:line="360" w:lineRule="auto"/>
        <w:jc w:val="center"/>
        <w:rPr>
          <w:rFonts w:asciiTheme="majorEastAsia" w:eastAsiaTheme="majorEastAsia" w:hAnsiTheme="majorEastAsia" w:cs="Times New Roman"/>
          <w:b/>
          <w:color w:val="000000"/>
          <w:sz w:val="36"/>
          <w:szCs w:val="36"/>
        </w:rPr>
      </w:pPr>
      <w:bookmarkStart w:id="0" w:name="_GoBack"/>
      <w:r>
        <w:rPr>
          <w:rFonts w:asciiTheme="majorEastAsia" w:eastAsiaTheme="majorEastAsia" w:hAnsiTheme="majorEastAsia" w:cs="Times New Roman" w:hint="eastAsia"/>
          <w:b/>
          <w:color w:val="000000"/>
          <w:sz w:val="36"/>
          <w:szCs w:val="36"/>
        </w:rPr>
        <w:t>高职</w:t>
      </w:r>
      <w:r w:rsidRPr="006B3CD6">
        <w:rPr>
          <w:rFonts w:asciiTheme="majorEastAsia" w:eastAsiaTheme="majorEastAsia" w:hAnsiTheme="majorEastAsia" w:cs="Times New Roman" w:hint="eastAsia"/>
          <w:b/>
          <w:color w:val="000000"/>
          <w:sz w:val="36"/>
          <w:szCs w:val="36"/>
        </w:rPr>
        <w:t>学生组“货运代理”赛项规程</w:t>
      </w:r>
    </w:p>
    <w:bookmarkEnd w:id="0"/>
    <w:p w:rsidR="00532E58" w:rsidRPr="006B3CD6" w:rsidRDefault="00532E58" w:rsidP="00532E5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p>
    <w:p w:rsidR="00532E58" w:rsidRPr="006B3CD6" w:rsidRDefault="00532E58" w:rsidP="00532E5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一、赛项名称</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赛项名称：货运代理</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英文名称：Freight Forwarding Skills Competition</w:t>
      </w:r>
    </w:p>
    <w:p w:rsidR="00532E58" w:rsidRPr="006B3CD6" w:rsidRDefault="00532E58" w:rsidP="00532E5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二、竞赛目的</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本赛项以世界技能大赛技术文件为参考标准，借鉴世界技能大赛理念，模拟国际货运代理企业真实工作场景，竞赛内容贴近货运代理从业人员工作中须解决的实际问题，考查选手的货运代理实际工作能力。通过本次大赛，一是检验教学成果，选拔“德技并修”的优秀高素质技术技能型人才；二是瞄准世界高水平职业技能人才培养，引领和促进高职院校“三教”改革，提升职业院校人才培养质量；三是营造崇尚技能的社会氛围，进一步促进产教融合、校企合作，旨在为新时代甘肃融入“一带一路”建设打造“五个制高点”提供技术技能人才支撑。</w:t>
      </w:r>
    </w:p>
    <w:p w:rsidR="00532E58" w:rsidRPr="006B3CD6" w:rsidRDefault="00532E58" w:rsidP="00532E5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三、竞赛方式和竞赛内容</w:t>
      </w:r>
    </w:p>
    <w:p w:rsidR="00532E58" w:rsidRPr="006B3CD6" w:rsidRDefault="00532E58" w:rsidP="00532E5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（一）竞赛方式</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本赛项为个人赛。本赛项试题为全英文，提交成果（含书面和口语表达）也必须为全英文版，如提交中文版则判定提交成果无效。</w:t>
      </w:r>
    </w:p>
    <w:p w:rsidR="00532E58" w:rsidRPr="006B3CD6" w:rsidRDefault="00532E58" w:rsidP="00532E5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（二）竞赛内容</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根据国际货运代理行业前沿发展和职业标准，对接世界技能大赛技术标准要求，本赛项重点考察参赛选手货运代理核心职业技能以及逻辑思维能力、时间管理能力和基本的职业素养。</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本赛项竞赛内容包括客户沟通、运输路径设计、合同与业务、操作处理、保险、报关、成本与效益、索赔、投诉处理等。</w:t>
      </w:r>
    </w:p>
    <w:p w:rsidR="00532E58" w:rsidRPr="006B3CD6" w:rsidRDefault="00532E58" w:rsidP="00532E58">
      <w:pPr>
        <w:adjustRightInd w:val="0"/>
        <w:snapToGrid w:val="0"/>
        <w:spacing w:line="336" w:lineRule="auto"/>
        <w:ind w:firstLine="200"/>
        <w:jc w:val="center"/>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货运代理竞赛内容一览表</w:t>
      </w:r>
    </w:p>
    <w:tbl>
      <w:tblPr>
        <w:tblW w:w="0" w:type="auto"/>
        <w:jc w:val="center"/>
        <w:tblBorders>
          <w:top w:val="single" w:sz="18" w:space="0" w:color="auto"/>
          <w:bottom w:val="single" w:sz="18" w:space="0" w:color="auto"/>
          <w:insideH w:val="single" w:sz="4" w:space="0" w:color="auto"/>
          <w:insideV w:val="single" w:sz="4" w:space="0" w:color="auto"/>
        </w:tblBorders>
        <w:tblLayout w:type="fixed"/>
        <w:tblLook w:val="04A0" w:firstRow="1" w:lastRow="0" w:firstColumn="1" w:lastColumn="0" w:noHBand="0" w:noVBand="1"/>
      </w:tblPr>
      <w:tblGrid>
        <w:gridCol w:w="1276"/>
        <w:gridCol w:w="766"/>
        <w:gridCol w:w="1625"/>
        <w:gridCol w:w="4855"/>
      </w:tblGrid>
      <w:tr w:rsidR="00532E58" w:rsidRPr="006B3CD6" w:rsidTr="00A925DB">
        <w:trPr>
          <w:trHeight w:hRule="exact" w:val="284"/>
          <w:jc w:val="center"/>
        </w:trPr>
        <w:tc>
          <w:tcPr>
            <w:tcW w:w="1276" w:type="dxa"/>
            <w:vAlign w:val="center"/>
          </w:tcPr>
          <w:p w:rsidR="00532E58" w:rsidRPr="006B3CD6" w:rsidRDefault="00532E58" w:rsidP="00A925DB">
            <w:pPr>
              <w:adjustRightInd w:val="0"/>
              <w:snapToGrid w:val="0"/>
              <w:ind w:firstLineChars="200" w:firstLine="361"/>
              <w:rPr>
                <w:rFonts w:ascii="楷体" w:eastAsia="楷体" w:hAnsi="楷体" w:cs="宋体"/>
                <w:b/>
                <w:bCs/>
                <w:snapToGrid w:val="0"/>
                <w:color w:val="000000" w:themeColor="text1"/>
                <w:kern w:val="0"/>
                <w:sz w:val="18"/>
                <w:szCs w:val="18"/>
              </w:rPr>
            </w:pPr>
            <w:bookmarkStart w:id="1" w:name="_Hlk51576295"/>
            <w:r w:rsidRPr="006B3CD6">
              <w:rPr>
                <w:rFonts w:ascii="楷体" w:eastAsia="楷体" w:hAnsi="楷体" w:cs="Times New Roman" w:hint="eastAsia"/>
                <w:b/>
                <w:snapToGrid w:val="0"/>
                <w:color w:val="000000" w:themeColor="text1"/>
                <w:kern w:val="0"/>
                <w:sz w:val="18"/>
                <w:szCs w:val="18"/>
              </w:rPr>
              <w:t>一级指标</w:t>
            </w:r>
          </w:p>
        </w:tc>
        <w:tc>
          <w:tcPr>
            <w:tcW w:w="766" w:type="dxa"/>
            <w:vAlign w:val="center"/>
          </w:tcPr>
          <w:p w:rsidR="00532E58" w:rsidRPr="006B3CD6" w:rsidRDefault="00532E58" w:rsidP="00A925DB">
            <w:pPr>
              <w:adjustRightInd w:val="0"/>
              <w:snapToGrid w:val="0"/>
              <w:ind w:firstLineChars="200" w:firstLine="361"/>
              <w:rPr>
                <w:rFonts w:ascii="楷体" w:eastAsia="楷体" w:hAnsi="楷体" w:cs="Times New Roman"/>
                <w:b/>
                <w:snapToGrid w:val="0"/>
                <w:color w:val="000000" w:themeColor="text1"/>
                <w:kern w:val="0"/>
                <w:sz w:val="18"/>
                <w:szCs w:val="18"/>
              </w:rPr>
            </w:pPr>
            <w:r w:rsidRPr="006B3CD6">
              <w:rPr>
                <w:rFonts w:ascii="楷体" w:eastAsia="楷体" w:hAnsi="楷体" w:cs="Times New Roman" w:hint="eastAsia"/>
                <w:b/>
                <w:snapToGrid w:val="0"/>
                <w:color w:val="000000" w:themeColor="text1"/>
                <w:kern w:val="0"/>
                <w:sz w:val="18"/>
                <w:szCs w:val="18"/>
              </w:rPr>
              <w:t>二级指标</w:t>
            </w:r>
          </w:p>
        </w:tc>
        <w:tc>
          <w:tcPr>
            <w:tcW w:w="1625" w:type="dxa"/>
            <w:vAlign w:val="center"/>
          </w:tcPr>
          <w:p w:rsidR="00532E58" w:rsidRPr="006B3CD6" w:rsidRDefault="00532E58" w:rsidP="00A925DB">
            <w:pPr>
              <w:adjustRightInd w:val="0"/>
              <w:snapToGrid w:val="0"/>
              <w:ind w:firstLineChars="200" w:firstLine="361"/>
              <w:rPr>
                <w:rFonts w:ascii="楷体" w:eastAsia="楷体" w:hAnsi="楷体" w:cs="Times New Roman"/>
                <w:b/>
                <w:snapToGrid w:val="0"/>
                <w:color w:val="000000" w:themeColor="text1"/>
                <w:kern w:val="0"/>
                <w:sz w:val="18"/>
                <w:szCs w:val="18"/>
              </w:rPr>
            </w:pPr>
            <w:r w:rsidRPr="006B3CD6">
              <w:rPr>
                <w:rFonts w:ascii="楷体" w:eastAsia="楷体" w:hAnsi="楷体" w:cs="Times New Roman" w:hint="eastAsia"/>
                <w:b/>
                <w:snapToGrid w:val="0"/>
                <w:color w:val="000000" w:themeColor="text1"/>
                <w:kern w:val="0"/>
                <w:sz w:val="18"/>
                <w:szCs w:val="18"/>
              </w:rPr>
              <w:t>三级指标</w:t>
            </w:r>
          </w:p>
        </w:tc>
        <w:tc>
          <w:tcPr>
            <w:tcW w:w="4855" w:type="dxa"/>
            <w:vAlign w:val="center"/>
          </w:tcPr>
          <w:p w:rsidR="00532E58" w:rsidRPr="006B3CD6" w:rsidRDefault="00532E58" w:rsidP="00A925DB">
            <w:pPr>
              <w:adjustRightInd w:val="0"/>
              <w:snapToGrid w:val="0"/>
              <w:ind w:firstLineChars="200" w:firstLine="361"/>
              <w:rPr>
                <w:rFonts w:ascii="楷体" w:eastAsia="楷体" w:hAnsi="楷体" w:cs="Times New Roman"/>
                <w:b/>
                <w:snapToGrid w:val="0"/>
                <w:color w:val="000000" w:themeColor="text1"/>
                <w:kern w:val="0"/>
                <w:sz w:val="18"/>
                <w:szCs w:val="18"/>
              </w:rPr>
            </w:pPr>
            <w:r w:rsidRPr="006B3CD6">
              <w:rPr>
                <w:rFonts w:ascii="楷体" w:eastAsia="楷体" w:hAnsi="楷体" w:cs="Times New Roman" w:hint="eastAsia"/>
                <w:b/>
                <w:snapToGrid w:val="0"/>
                <w:color w:val="000000" w:themeColor="text1"/>
                <w:kern w:val="0"/>
                <w:sz w:val="18"/>
                <w:szCs w:val="18"/>
              </w:rPr>
              <w:t>三级指标说明</w:t>
            </w:r>
          </w:p>
        </w:tc>
      </w:tr>
      <w:tr w:rsidR="00532E58" w:rsidRPr="006B3CD6" w:rsidTr="00A925DB">
        <w:trPr>
          <w:trHeight w:hRule="exact" w:val="578"/>
          <w:jc w:val="center"/>
        </w:trPr>
        <w:tc>
          <w:tcPr>
            <w:tcW w:w="1276" w:type="dxa"/>
            <w:vMerge w:val="restart"/>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海运</w:t>
            </w:r>
          </w:p>
          <w:p w:rsidR="00532E58" w:rsidRPr="006B3CD6" w:rsidRDefault="00532E58" w:rsidP="00A925DB">
            <w:pPr>
              <w:adjustRightInd w:val="0"/>
              <w:snapToGrid w:val="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（占比70%）</w:t>
            </w:r>
          </w:p>
        </w:tc>
        <w:tc>
          <w:tcPr>
            <w:tcW w:w="766" w:type="dxa"/>
            <w:vMerge w:val="restart"/>
            <w:vAlign w:val="center"/>
          </w:tcPr>
          <w:p w:rsidR="00532E58" w:rsidRPr="006B3CD6" w:rsidRDefault="00532E58" w:rsidP="00A925DB">
            <w:pPr>
              <w:adjustRightInd w:val="0"/>
              <w:snapToGrid w:val="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客户获取</w:t>
            </w:r>
          </w:p>
        </w:tc>
        <w:tc>
          <w:tcPr>
            <w:tcW w:w="1625" w:type="dxa"/>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客户咨询</w:t>
            </w:r>
          </w:p>
        </w:tc>
        <w:tc>
          <w:tcPr>
            <w:tcW w:w="4855" w:type="dxa"/>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关于主要港口、航线、贸易术语、可能的交通方式、优缺点、运输时间、交通条件等的客户咨询</w:t>
            </w:r>
          </w:p>
        </w:tc>
      </w:tr>
      <w:tr w:rsidR="00532E58" w:rsidRPr="006B3CD6" w:rsidTr="00A925DB">
        <w:trPr>
          <w:trHeight w:hRule="exact" w:val="535"/>
          <w:jc w:val="center"/>
        </w:trPr>
        <w:tc>
          <w:tcPr>
            <w:tcW w:w="1276" w:type="dxa"/>
            <w:vMerge/>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p>
        </w:tc>
        <w:tc>
          <w:tcPr>
            <w:tcW w:w="766" w:type="dxa"/>
            <w:vMerge/>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p>
        </w:tc>
        <w:tc>
          <w:tcPr>
            <w:tcW w:w="1625" w:type="dxa"/>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客户会面</w:t>
            </w:r>
          </w:p>
        </w:tc>
        <w:tc>
          <w:tcPr>
            <w:tcW w:w="4855" w:type="dxa"/>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制作英文ppt，分析客户需求，有针对性地介绍公司的业务与优势，并与客户进行英语口语交流</w:t>
            </w:r>
          </w:p>
        </w:tc>
      </w:tr>
      <w:tr w:rsidR="00532E58" w:rsidRPr="006B3CD6" w:rsidTr="00A925DB">
        <w:trPr>
          <w:trHeight w:hRule="exact" w:val="284"/>
          <w:jc w:val="center"/>
        </w:trPr>
        <w:tc>
          <w:tcPr>
            <w:tcW w:w="1276" w:type="dxa"/>
            <w:vMerge/>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p>
        </w:tc>
        <w:tc>
          <w:tcPr>
            <w:tcW w:w="766" w:type="dxa"/>
            <w:vMerge w:val="restart"/>
            <w:vAlign w:val="center"/>
          </w:tcPr>
          <w:p w:rsidR="00532E58" w:rsidRPr="006B3CD6" w:rsidRDefault="00532E58" w:rsidP="00A925DB">
            <w:pPr>
              <w:adjustRightInd w:val="0"/>
              <w:snapToGrid w:val="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海运报价</w:t>
            </w:r>
          </w:p>
        </w:tc>
        <w:tc>
          <w:tcPr>
            <w:tcW w:w="1625" w:type="dxa"/>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选择集装箱</w:t>
            </w:r>
          </w:p>
        </w:tc>
        <w:tc>
          <w:tcPr>
            <w:tcW w:w="4855" w:type="dxa"/>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根据货物特点选择集装箱类型和数量</w:t>
            </w:r>
          </w:p>
        </w:tc>
      </w:tr>
      <w:tr w:rsidR="00532E58" w:rsidRPr="006B3CD6" w:rsidTr="00A925DB">
        <w:trPr>
          <w:trHeight w:hRule="exact" w:val="284"/>
          <w:jc w:val="center"/>
        </w:trPr>
        <w:tc>
          <w:tcPr>
            <w:tcW w:w="1276" w:type="dxa"/>
            <w:vMerge/>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p>
        </w:tc>
        <w:tc>
          <w:tcPr>
            <w:tcW w:w="766" w:type="dxa"/>
            <w:vMerge/>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p>
        </w:tc>
        <w:tc>
          <w:tcPr>
            <w:tcW w:w="1625" w:type="dxa"/>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费用计算</w:t>
            </w:r>
          </w:p>
        </w:tc>
        <w:tc>
          <w:tcPr>
            <w:tcW w:w="4855" w:type="dxa"/>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计算运费及相关费用，选择合适的船公司</w:t>
            </w:r>
          </w:p>
        </w:tc>
      </w:tr>
      <w:tr w:rsidR="00532E58" w:rsidRPr="006B3CD6" w:rsidTr="00A925DB">
        <w:trPr>
          <w:trHeight w:hRule="exact" w:val="284"/>
          <w:jc w:val="center"/>
        </w:trPr>
        <w:tc>
          <w:tcPr>
            <w:tcW w:w="1276" w:type="dxa"/>
            <w:vMerge/>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p>
        </w:tc>
        <w:tc>
          <w:tcPr>
            <w:tcW w:w="766" w:type="dxa"/>
            <w:vMerge/>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p>
        </w:tc>
        <w:tc>
          <w:tcPr>
            <w:tcW w:w="1625" w:type="dxa"/>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海运报价</w:t>
            </w:r>
          </w:p>
        </w:tc>
        <w:tc>
          <w:tcPr>
            <w:tcW w:w="4855" w:type="dxa"/>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根据客户需求，为客户提供报价方案</w:t>
            </w:r>
          </w:p>
        </w:tc>
      </w:tr>
      <w:tr w:rsidR="00532E58" w:rsidRPr="006B3CD6" w:rsidTr="00A925DB">
        <w:trPr>
          <w:trHeight w:hRule="exact" w:val="284"/>
          <w:jc w:val="center"/>
        </w:trPr>
        <w:tc>
          <w:tcPr>
            <w:tcW w:w="1276" w:type="dxa"/>
            <w:vMerge/>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bookmarkStart w:id="2" w:name="_Hlk51489677"/>
          </w:p>
        </w:tc>
        <w:tc>
          <w:tcPr>
            <w:tcW w:w="766" w:type="dxa"/>
            <w:vMerge w:val="restart"/>
            <w:vAlign w:val="center"/>
          </w:tcPr>
          <w:p w:rsidR="00532E58" w:rsidRPr="006B3CD6" w:rsidRDefault="00532E58" w:rsidP="00A925DB">
            <w:pPr>
              <w:adjustRightInd w:val="0"/>
              <w:snapToGrid w:val="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海运操作</w:t>
            </w:r>
          </w:p>
        </w:tc>
        <w:tc>
          <w:tcPr>
            <w:tcW w:w="1625" w:type="dxa"/>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集港作业</w:t>
            </w:r>
          </w:p>
        </w:tc>
        <w:tc>
          <w:tcPr>
            <w:tcW w:w="4855" w:type="dxa"/>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选择合适运输工具，计算运费，编制集港运输计划</w:t>
            </w:r>
          </w:p>
        </w:tc>
      </w:tr>
      <w:bookmarkEnd w:id="2"/>
      <w:tr w:rsidR="00532E58" w:rsidRPr="006B3CD6" w:rsidTr="00A925DB">
        <w:trPr>
          <w:trHeight w:hRule="exact" w:val="284"/>
          <w:jc w:val="center"/>
        </w:trPr>
        <w:tc>
          <w:tcPr>
            <w:tcW w:w="1276" w:type="dxa"/>
            <w:vMerge/>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p>
        </w:tc>
        <w:tc>
          <w:tcPr>
            <w:tcW w:w="766" w:type="dxa"/>
            <w:vMerge/>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p>
        </w:tc>
        <w:tc>
          <w:tcPr>
            <w:tcW w:w="1625" w:type="dxa"/>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单证制作</w:t>
            </w:r>
          </w:p>
        </w:tc>
        <w:tc>
          <w:tcPr>
            <w:tcW w:w="4855" w:type="dxa"/>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根据业务要求及相关信息，缮制提单等海运单据</w:t>
            </w:r>
          </w:p>
        </w:tc>
      </w:tr>
      <w:tr w:rsidR="00532E58" w:rsidRPr="006B3CD6" w:rsidTr="00A925DB">
        <w:trPr>
          <w:trHeight w:hRule="exact" w:val="284"/>
          <w:jc w:val="center"/>
        </w:trPr>
        <w:tc>
          <w:tcPr>
            <w:tcW w:w="1276" w:type="dxa"/>
            <w:vMerge/>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p>
        </w:tc>
        <w:tc>
          <w:tcPr>
            <w:tcW w:w="766" w:type="dxa"/>
            <w:vMerge w:val="restart"/>
            <w:vAlign w:val="center"/>
          </w:tcPr>
          <w:p w:rsidR="00532E58" w:rsidRPr="006B3CD6" w:rsidRDefault="00532E58" w:rsidP="00A925DB">
            <w:pPr>
              <w:adjustRightInd w:val="0"/>
              <w:snapToGrid w:val="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异常情况处理</w:t>
            </w:r>
          </w:p>
        </w:tc>
        <w:tc>
          <w:tcPr>
            <w:tcW w:w="1625" w:type="dxa"/>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海运投诉</w:t>
            </w:r>
          </w:p>
        </w:tc>
        <w:tc>
          <w:tcPr>
            <w:tcW w:w="4855" w:type="dxa"/>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处理海运业务中出现的投诉</w:t>
            </w:r>
          </w:p>
        </w:tc>
      </w:tr>
      <w:tr w:rsidR="00532E58" w:rsidRPr="006B3CD6" w:rsidTr="00A925DB">
        <w:trPr>
          <w:trHeight w:hRule="exact" w:val="284"/>
          <w:jc w:val="center"/>
        </w:trPr>
        <w:tc>
          <w:tcPr>
            <w:tcW w:w="1276" w:type="dxa"/>
            <w:vMerge/>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p>
        </w:tc>
        <w:tc>
          <w:tcPr>
            <w:tcW w:w="766" w:type="dxa"/>
            <w:vMerge/>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p>
        </w:tc>
        <w:tc>
          <w:tcPr>
            <w:tcW w:w="1625" w:type="dxa"/>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海运索赔</w:t>
            </w:r>
          </w:p>
        </w:tc>
        <w:tc>
          <w:tcPr>
            <w:tcW w:w="4855" w:type="dxa"/>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处理海运业务中出现的索赔事宜</w:t>
            </w:r>
          </w:p>
        </w:tc>
      </w:tr>
      <w:tr w:rsidR="00532E58" w:rsidRPr="006B3CD6" w:rsidTr="00A925DB">
        <w:trPr>
          <w:trHeight w:hRule="exact" w:val="284"/>
          <w:jc w:val="center"/>
        </w:trPr>
        <w:tc>
          <w:tcPr>
            <w:tcW w:w="1276" w:type="dxa"/>
            <w:vMerge w:val="restart"/>
            <w:vAlign w:val="center"/>
          </w:tcPr>
          <w:p w:rsidR="00532E58" w:rsidRPr="006B3CD6" w:rsidRDefault="00532E58" w:rsidP="00A925DB">
            <w:pPr>
              <w:adjustRightInd w:val="0"/>
              <w:snapToGrid w:val="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空运（占比</w:t>
            </w:r>
            <w:r w:rsidRPr="006B3CD6">
              <w:rPr>
                <w:rFonts w:ascii="楷体" w:eastAsia="楷体" w:hAnsi="楷体" w:cs="Times New Roman" w:hint="eastAsia"/>
                <w:snapToGrid w:val="0"/>
                <w:color w:val="000000" w:themeColor="text1"/>
                <w:kern w:val="0"/>
                <w:sz w:val="18"/>
                <w:szCs w:val="18"/>
              </w:rPr>
              <w:lastRenderedPageBreak/>
              <w:t>30%）</w:t>
            </w:r>
          </w:p>
        </w:tc>
        <w:tc>
          <w:tcPr>
            <w:tcW w:w="766" w:type="dxa"/>
            <w:vAlign w:val="center"/>
          </w:tcPr>
          <w:p w:rsidR="00532E58" w:rsidRPr="006B3CD6" w:rsidRDefault="00532E58" w:rsidP="00A925DB">
            <w:pPr>
              <w:adjustRightInd w:val="0"/>
              <w:snapToGrid w:val="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lastRenderedPageBreak/>
              <w:t>空运报价</w:t>
            </w:r>
          </w:p>
        </w:tc>
        <w:tc>
          <w:tcPr>
            <w:tcW w:w="1625" w:type="dxa"/>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空运报价</w:t>
            </w:r>
          </w:p>
        </w:tc>
        <w:tc>
          <w:tcPr>
            <w:tcW w:w="4855" w:type="dxa"/>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根据实际业务计算空运运费，并提供报价方案</w:t>
            </w:r>
          </w:p>
        </w:tc>
      </w:tr>
      <w:tr w:rsidR="00532E58" w:rsidRPr="006B3CD6" w:rsidTr="00A925DB">
        <w:trPr>
          <w:trHeight w:hRule="exact" w:val="561"/>
          <w:jc w:val="center"/>
        </w:trPr>
        <w:tc>
          <w:tcPr>
            <w:tcW w:w="1276" w:type="dxa"/>
            <w:vMerge/>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p>
        </w:tc>
        <w:tc>
          <w:tcPr>
            <w:tcW w:w="766" w:type="dxa"/>
            <w:vAlign w:val="center"/>
          </w:tcPr>
          <w:p w:rsidR="00532E58" w:rsidRPr="006B3CD6" w:rsidRDefault="00532E58" w:rsidP="00A925DB">
            <w:pPr>
              <w:adjustRightInd w:val="0"/>
              <w:snapToGrid w:val="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空运操作</w:t>
            </w:r>
          </w:p>
        </w:tc>
        <w:tc>
          <w:tcPr>
            <w:tcW w:w="1625" w:type="dxa"/>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单证制作</w:t>
            </w:r>
          </w:p>
        </w:tc>
        <w:tc>
          <w:tcPr>
            <w:tcW w:w="4855" w:type="dxa"/>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根据业务要求及相关单据缮制航空运单；组织空运、文件签发，完成空运操作实务</w:t>
            </w:r>
          </w:p>
        </w:tc>
      </w:tr>
      <w:tr w:rsidR="00532E58" w:rsidRPr="006B3CD6" w:rsidTr="00A925DB">
        <w:trPr>
          <w:trHeight w:hRule="exact" w:val="284"/>
          <w:jc w:val="center"/>
        </w:trPr>
        <w:tc>
          <w:tcPr>
            <w:tcW w:w="1276" w:type="dxa"/>
            <w:vMerge/>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p>
        </w:tc>
        <w:tc>
          <w:tcPr>
            <w:tcW w:w="766" w:type="dxa"/>
            <w:vMerge w:val="restart"/>
            <w:vAlign w:val="center"/>
          </w:tcPr>
          <w:p w:rsidR="00532E58" w:rsidRPr="006B3CD6" w:rsidRDefault="00532E58" w:rsidP="00A925DB">
            <w:pPr>
              <w:adjustRightInd w:val="0"/>
              <w:snapToGrid w:val="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异常处理</w:t>
            </w:r>
          </w:p>
        </w:tc>
        <w:tc>
          <w:tcPr>
            <w:tcW w:w="1625" w:type="dxa"/>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空运投诉</w:t>
            </w:r>
          </w:p>
        </w:tc>
        <w:tc>
          <w:tcPr>
            <w:tcW w:w="4855" w:type="dxa"/>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处理空运业务中出现的投诉</w:t>
            </w:r>
          </w:p>
        </w:tc>
      </w:tr>
      <w:tr w:rsidR="00532E58" w:rsidRPr="006B3CD6" w:rsidTr="00A925DB">
        <w:trPr>
          <w:trHeight w:hRule="exact" w:val="284"/>
          <w:jc w:val="center"/>
        </w:trPr>
        <w:tc>
          <w:tcPr>
            <w:tcW w:w="1276" w:type="dxa"/>
            <w:vMerge/>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p>
        </w:tc>
        <w:tc>
          <w:tcPr>
            <w:tcW w:w="766" w:type="dxa"/>
            <w:vMerge/>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p>
        </w:tc>
        <w:tc>
          <w:tcPr>
            <w:tcW w:w="1625" w:type="dxa"/>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空运索赔</w:t>
            </w:r>
          </w:p>
        </w:tc>
        <w:tc>
          <w:tcPr>
            <w:tcW w:w="4855" w:type="dxa"/>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处理空运业务中出现的索赔事宜</w:t>
            </w:r>
          </w:p>
        </w:tc>
      </w:tr>
    </w:tbl>
    <w:bookmarkEnd w:id="1"/>
    <w:p w:rsidR="00532E58" w:rsidRPr="006B3CD6" w:rsidRDefault="00532E58" w:rsidP="00532E58">
      <w:pPr>
        <w:adjustRightInd w:val="0"/>
        <w:snapToGrid w:val="0"/>
        <w:spacing w:beforeLines="50" w:before="156"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四、竞赛流程</w:t>
      </w:r>
    </w:p>
    <w:p w:rsidR="00532E58" w:rsidRPr="006B3CD6" w:rsidRDefault="00532E58" w:rsidP="00532E58">
      <w:pPr>
        <w:adjustRightInd w:val="0"/>
        <w:snapToGrid w:val="0"/>
        <w:spacing w:line="336" w:lineRule="auto"/>
        <w:ind w:firstLine="200"/>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（一）竞赛时间安排</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赛事持续进行2天。竞赛日程安排如下表所示。</w:t>
      </w:r>
    </w:p>
    <w:p w:rsidR="00532E58" w:rsidRPr="006B3CD6" w:rsidRDefault="00532E58" w:rsidP="00532E58">
      <w:pPr>
        <w:adjustRightInd w:val="0"/>
        <w:snapToGrid w:val="0"/>
        <w:ind w:firstLine="200"/>
        <w:jc w:val="center"/>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竞赛日程表</w:t>
      </w:r>
    </w:p>
    <w:tbl>
      <w:tblPr>
        <w:tblW w:w="8350" w:type="dxa"/>
        <w:jc w:val="center"/>
        <w:tblBorders>
          <w:top w:val="single" w:sz="12" w:space="0" w:color="auto"/>
          <w:bottom w:val="single" w:sz="18" w:space="0" w:color="auto"/>
          <w:insideH w:val="single" w:sz="4" w:space="0" w:color="auto"/>
          <w:insideV w:val="single" w:sz="4" w:space="0" w:color="auto"/>
        </w:tblBorders>
        <w:tblLayout w:type="fixed"/>
        <w:tblLook w:val="04A0" w:firstRow="1" w:lastRow="0" w:firstColumn="1" w:lastColumn="0" w:noHBand="0" w:noVBand="1"/>
      </w:tblPr>
      <w:tblGrid>
        <w:gridCol w:w="1723"/>
        <w:gridCol w:w="2133"/>
        <w:gridCol w:w="4494"/>
      </w:tblGrid>
      <w:tr w:rsidR="00532E58" w:rsidRPr="006B3CD6" w:rsidTr="00A925DB">
        <w:trPr>
          <w:trHeight w:hRule="exact" w:val="284"/>
          <w:jc w:val="center"/>
        </w:trPr>
        <w:tc>
          <w:tcPr>
            <w:tcW w:w="1723" w:type="dxa"/>
            <w:vAlign w:val="center"/>
          </w:tcPr>
          <w:p w:rsidR="00532E58" w:rsidRPr="006B3CD6" w:rsidRDefault="00532E58" w:rsidP="00A925DB">
            <w:pPr>
              <w:adjustRightInd w:val="0"/>
              <w:snapToGrid w:val="0"/>
              <w:jc w:val="center"/>
              <w:rPr>
                <w:rFonts w:ascii="楷体" w:eastAsia="楷体" w:hAnsi="楷体" w:cs="Times New Roman"/>
                <w:b/>
                <w:snapToGrid w:val="0"/>
                <w:color w:val="000000" w:themeColor="text1"/>
                <w:kern w:val="0"/>
                <w:sz w:val="18"/>
                <w:szCs w:val="18"/>
              </w:rPr>
            </w:pPr>
            <w:r w:rsidRPr="006B3CD6">
              <w:rPr>
                <w:rFonts w:ascii="楷体" w:eastAsia="楷体" w:hAnsi="楷体" w:cs="Times New Roman" w:hint="eastAsia"/>
                <w:b/>
                <w:snapToGrid w:val="0"/>
                <w:color w:val="000000" w:themeColor="text1"/>
                <w:kern w:val="0"/>
                <w:sz w:val="18"/>
                <w:szCs w:val="18"/>
              </w:rPr>
              <w:t>日期</w:t>
            </w:r>
          </w:p>
        </w:tc>
        <w:tc>
          <w:tcPr>
            <w:tcW w:w="2133" w:type="dxa"/>
            <w:vAlign w:val="center"/>
          </w:tcPr>
          <w:p w:rsidR="00532E58" w:rsidRPr="006B3CD6" w:rsidRDefault="00532E58" w:rsidP="00A925DB">
            <w:pPr>
              <w:adjustRightInd w:val="0"/>
              <w:snapToGrid w:val="0"/>
              <w:jc w:val="center"/>
              <w:rPr>
                <w:rFonts w:ascii="楷体" w:eastAsia="楷体" w:hAnsi="楷体" w:cs="Times New Roman"/>
                <w:b/>
                <w:snapToGrid w:val="0"/>
                <w:color w:val="000000" w:themeColor="text1"/>
                <w:kern w:val="0"/>
                <w:sz w:val="18"/>
                <w:szCs w:val="18"/>
              </w:rPr>
            </w:pPr>
            <w:r w:rsidRPr="006B3CD6">
              <w:rPr>
                <w:rFonts w:ascii="楷体" w:eastAsia="楷体" w:hAnsi="楷体" w:cs="Times New Roman" w:hint="eastAsia"/>
                <w:b/>
                <w:snapToGrid w:val="0"/>
                <w:color w:val="000000" w:themeColor="text1"/>
                <w:kern w:val="0"/>
                <w:sz w:val="18"/>
                <w:szCs w:val="18"/>
              </w:rPr>
              <w:t>时间</w:t>
            </w:r>
          </w:p>
        </w:tc>
        <w:tc>
          <w:tcPr>
            <w:tcW w:w="4494" w:type="dxa"/>
            <w:vAlign w:val="center"/>
          </w:tcPr>
          <w:p w:rsidR="00532E58" w:rsidRPr="006B3CD6" w:rsidRDefault="00532E58" w:rsidP="00A925DB">
            <w:pPr>
              <w:adjustRightInd w:val="0"/>
              <w:snapToGrid w:val="0"/>
              <w:jc w:val="center"/>
              <w:rPr>
                <w:rFonts w:ascii="楷体" w:eastAsia="楷体" w:hAnsi="楷体" w:cs="Times New Roman"/>
                <w:b/>
                <w:snapToGrid w:val="0"/>
                <w:color w:val="000000" w:themeColor="text1"/>
                <w:kern w:val="0"/>
                <w:sz w:val="18"/>
                <w:szCs w:val="18"/>
              </w:rPr>
            </w:pPr>
            <w:r w:rsidRPr="006B3CD6">
              <w:rPr>
                <w:rFonts w:ascii="楷体" w:eastAsia="楷体" w:hAnsi="楷体" w:cs="Times New Roman" w:hint="eastAsia"/>
                <w:b/>
                <w:snapToGrid w:val="0"/>
                <w:color w:val="000000" w:themeColor="text1"/>
                <w:kern w:val="0"/>
                <w:sz w:val="18"/>
                <w:szCs w:val="18"/>
              </w:rPr>
              <w:t>具体安排</w:t>
            </w:r>
          </w:p>
        </w:tc>
      </w:tr>
      <w:tr w:rsidR="00532E58" w:rsidRPr="006B3CD6" w:rsidTr="00A925DB">
        <w:trPr>
          <w:trHeight w:hRule="exact" w:val="284"/>
          <w:jc w:val="center"/>
        </w:trPr>
        <w:tc>
          <w:tcPr>
            <w:tcW w:w="1723"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比赛前一天</w:t>
            </w:r>
          </w:p>
        </w:tc>
        <w:tc>
          <w:tcPr>
            <w:tcW w:w="2133"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9：00—17：00</w:t>
            </w:r>
          </w:p>
        </w:tc>
        <w:tc>
          <w:tcPr>
            <w:tcW w:w="4494"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选手报到</w:t>
            </w:r>
          </w:p>
        </w:tc>
      </w:tr>
      <w:tr w:rsidR="00532E58" w:rsidRPr="006B3CD6" w:rsidTr="00A925DB">
        <w:trPr>
          <w:trHeight w:hRule="exact" w:val="284"/>
          <w:jc w:val="center"/>
        </w:trPr>
        <w:tc>
          <w:tcPr>
            <w:tcW w:w="1723" w:type="dxa"/>
            <w:vMerge w:val="restart"/>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比赛第一天</w:t>
            </w:r>
          </w:p>
        </w:tc>
        <w:tc>
          <w:tcPr>
            <w:tcW w:w="2133"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8：00—8：30</w:t>
            </w:r>
          </w:p>
        </w:tc>
        <w:tc>
          <w:tcPr>
            <w:tcW w:w="4494"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抽取工位、入座工位准备</w:t>
            </w:r>
          </w:p>
        </w:tc>
      </w:tr>
      <w:tr w:rsidR="00532E58" w:rsidRPr="006B3CD6" w:rsidTr="00A925DB">
        <w:trPr>
          <w:trHeight w:hRule="exact" w:val="284"/>
          <w:jc w:val="center"/>
        </w:trPr>
        <w:tc>
          <w:tcPr>
            <w:tcW w:w="1723" w:type="dxa"/>
            <w:vMerge/>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p>
        </w:tc>
        <w:tc>
          <w:tcPr>
            <w:tcW w:w="2133"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8：30—11：30</w:t>
            </w:r>
          </w:p>
        </w:tc>
        <w:tc>
          <w:tcPr>
            <w:tcW w:w="4494"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第一场竞赛</w:t>
            </w:r>
          </w:p>
        </w:tc>
      </w:tr>
      <w:tr w:rsidR="00532E58" w:rsidRPr="006B3CD6" w:rsidTr="00A925DB">
        <w:trPr>
          <w:trHeight w:hRule="exact" w:val="284"/>
          <w:jc w:val="center"/>
        </w:trPr>
        <w:tc>
          <w:tcPr>
            <w:tcW w:w="1723" w:type="dxa"/>
            <w:vMerge/>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p>
        </w:tc>
        <w:tc>
          <w:tcPr>
            <w:tcW w:w="2133"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11：30—13：30</w:t>
            </w:r>
          </w:p>
        </w:tc>
        <w:tc>
          <w:tcPr>
            <w:tcW w:w="4494"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休息</w:t>
            </w:r>
          </w:p>
        </w:tc>
      </w:tr>
      <w:tr w:rsidR="00532E58" w:rsidRPr="006B3CD6" w:rsidTr="00A925DB">
        <w:trPr>
          <w:trHeight w:hRule="exact" w:val="284"/>
          <w:jc w:val="center"/>
        </w:trPr>
        <w:tc>
          <w:tcPr>
            <w:tcW w:w="1723" w:type="dxa"/>
            <w:vMerge/>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p>
        </w:tc>
        <w:tc>
          <w:tcPr>
            <w:tcW w:w="2133"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13：30—16：30</w:t>
            </w:r>
          </w:p>
        </w:tc>
        <w:tc>
          <w:tcPr>
            <w:tcW w:w="4494"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第二场竞赛</w:t>
            </w:r>
          </w:p>
        </w:tc>
      </w:tr>
      <w:tr w:rsidR="00532E58" w:rsidRPr="006B3CD6" w:rsidTr="00A925DB">
        <w:trPr>
          <w:trHeight w:hRule="exact" w:val="284"/>
          <w:jc w:val="center"/>
        </w:trPr>
        <w:tc>
          <w:tcPr>
            <w:tcW w:w="1723" w:type="dxa"/>
            <w:vMerge w:val="restart"/>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比赛第二天</w:t>
            </w:r>
          </w:p>
        </w:tc>
        <w:tc>
          <w:tcPr>
            <w:tcW w:w="2133"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8：00—8：30</w:t>
            </w:r>
          </w:p>
        </w:tc>
        <w:tc>
          <w:tcPr>
            <w:tcW w:w="4494"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选手报到、入座工位准备</w:t>
            </w:r>
          </w:p>
        </w:tc>
      </w:tr>
      <w:tr w:rsidR="00532E58" w:rsidRPr="006B3CD6" w:rsidTr="00A925DB">
        <w:trPr>
          <w:trHeight w:hRule="exact" w:val="284"/>
          <w:jc w:val="center"/>
        </w:trPr>
        <w:tc>
          <w:tcPr>
            <w:tcW w:w="1723" w:type="dxa"/>
            <w:vMerge/>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p>
        </w:tc>
        <w:tc>
          <w:tcPr>
            <w:tcW w:w="2133"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8：30—11：30</w:t>
            </w:r>
          </w:p>
        </w:tc>
        <w:tc>
          <w:tcPr>
            <w:tcW w:w="4494"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第三场竞赛</w:t>
            </w:r>
          </w:p>
        </w:tc>
      </w:tr>
      <w:tr w:rsidR="00532E58" w:rsidRPr="006B3CD6" w:rsidTr="00A925DB">
        <w:trPr>
          <w:trHeight w:hRule="exact" w:val="284"/>
          <w:jc w:val="center"/>
        </w:trPr>
        <w:tc>
          <w:tcPr>
            <w:tcW w:w="1723" w:type="dxa"/>
            <w:vMerge/>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p>
        </w:tc>
        <w:tc>
          <w:tcPr>
            <w:tcW w:w="2133"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11：30—13：30</w:t>
            </w:r>
          </w:p>
        </w:tc>
        <w:tc>
          <w:tcPr>
            <w:tcW w:w="4494"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休息</w:t>
            </w:r>
          </w:p>
        </w:tc>
      </w:tr>
      <w:tr w:rsidR="00532E58" w:rsidRPr="006B3CD6" w:rsidTr="00A925DB">
        <w:trPr>
          <w:trHeight w:hRule="exact" w:val="284"/>
          <w:jc w:val="center"/>
        </w:trPr>
        <w:tc>
          <w:tcPr>
            <w:tcW w:w="1723" w:type="dxa"/>
            <w:vMerge/>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p>
        </w:tc>
        <w:tc>
          <w:tcPr>
            <w:tcW w:w="2133"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13：30—16：30</w:t>
            </w:r>
          </w:p>
        </w:tc>
        <w:tc>
          <w:tcPr>
            <w:tcW w:w="4494"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第四场竞赛</w:t>
            </w:r>
          </w:p>
        </w:tc>
      </w:tr>
    </w:tbl>
    <w:p w:rsidR="00532E58" w:rsidRPr="006B3CD6" w:rsidRDefault="00532E58" w:rsidP="00532E58">
      <w:pPr>
        <w:adjustRightInd w:val="0"/>
        <w:snapToGrid w:val="0"/>
        <w:spacing w:beforeLines="50" w:before="156" w:line="336" w:lineRule="auto"/>
        <w:ind w:firstLine="198"/>
        <w:rPr>
          <w:rFonts w:asciiTheme="minorEastAsia" w:hAnsiTheme="minorEastAsia" w:cs="Times New Roman"/>
          <w:bCs/>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（二）赛项时间安排</w:t>
      </w:r>
    </w:p>
    <w:p w:rsidR="00532E58" w:rsidRPr="006B3CD6" w:rsidRDefault="00532E58" w:rsidP="00532E58">
      <w:pPr>
        <w:adjustRightInd w:val="0"/>
        <w:snapToGrid w:val="0"/>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比赛时间为720分钟，安排在2天内完成。赛前组织抽签确定比赛工位。</w:t>
      </w:r>
    </w:p>
    <w:tbl>
      <w:tblPr>
        <w:tblW w:w="0" w:type="auto"/>
        <w:jc w:val="center"/>
        <w:tblBorders>
          <w:top w:val="single" w:sz="18" w:space="0" w:color="auto"/>
          <w:bottom w:val="single" w:sz="12" w:space="0" w:color="auto"/>
          <w:insideH w:val="single" w:sz="4" w:space="0" w:color="auto"/>
          <w:insideV w:val="single" w:sz="4" w:space="0" w:color="auto"/>
        </w:tblBorders>
        <w:tblLook w:val="04A0" w:firstRow="1" w:lastRow="0" w:firstColumn="1" w:lastColumn="0" w:noHBand="0" w:noVBand="1"/>
      </w:tblPr>
      <w:tblGrid>
        <w:gridCol w:w="1809"/>
        <w:gridCol w:w="3402"/>
        <w:gridCol w:w="3119"/>
      </w:tblGrid>
      <w:tr w:rsidR="00532E58" w:rsidRPr="006B3CD6" w:rsidTr="00A925DB">
        <w:trPr>
          <w:trHeight w:hRule="exact" w:val="284"/>
          <w:jc w:val="center"/>
        </w:trPr>
        <w:tc>
          <w:tcPr>
            <w:tcW w:w="1809" w:type="dxa"/>
            <w:vAlign w:val="center"/>
          </w:tcPr>
          <w:p w:rsidR="00532E58" w:rsidRPr="006B3CD6" w:rsidRDefault="00532E58" w:rsidP="00A925DB">
            <w:pPr>
              <w:adjustRightInd w:val="0"/>
              <w:snapToGrid w:val="0"/>
              <w:ind w:firstLine="198"/>
              <w:jc w:val="center"/>
              <w:rPr>
                <w:rFonts w:ascii="楷体" w:eastAsia="楷体" w:hAnsi="楷体" w:cs="Times New Roman"/>
                <w:b/>
                <w:snapToGrid w:val="0"/>
                <w:color w:val="000000" w:themeColor="text1"/>
                <w:kern w:val="0"/>
                <w:sz w:val="18"/>
                <w:szCs w:val="18"/>
              </w:rPr>
            </w:pPr>
            <w:r w:rsidRPr="006B3CD6">
              <w:rPr>
                <w:rFonts w:ascii="楷体" w:eastAsia="楷体" w:hAnsi="楷体" w:cs="Times New Roman" w:hint="eastAsia"/>
                <w:b/>
                <w:snapToGrid w:val="0"/>
                <w:color w:val="000000" w:themeColor="text1"/>
                <w:kern w:val="0"/>
                <w:sz w:val="18"/>
                <w:szCs w:val="18"/>
              </w:rPr>
              <w:t>模块编号</w:t>
            </w:r>
          </w:p>
        </w:tc>
        <w:tc>
          <w:tcPr>
            <w:tcW w:w="3402" w:type="dxa"/>
            <w:vAlign w:val="center"/>
          </w:tcPr>
          <w:p w:rsidR="00532E58" w:rsidRPr="006B3CD6" w:rsidRDefault="00532E58" w:rsidP="00A925DB">
            <w:pPr>
              <w:adjustRightInd w:val="0"/>
              <w:snapToGrid w:val="0"/>
              <w:ind w:firstLine="198"/>
              <w:jc w:val="center"/>
              <w:rPr>
                <w:rFonts w:ascii="楷体" w:eastAsia="楷体" w:hAnsi="楷体" w:cs="Times New Roman"/>
                <w:b/>
                <w:snapToGrid w:val="0"/>
                <w:color w:val="000000" w:themeColor="text1"/>
                <w:kern w:val="0"/>
                <w:sz w:val="18"/>
                <w:szCs w:val="18"/>
              </w:rPr>
            </w:pPr>
            <w:r w:rsidRPr="006B3CD6">
              <w:rPr>
                <w:rFonts w:ascii="楷体" w:eastAsia="楷体" w:hAnsi="楷体" w:cs="Times New Roman" w:hint="eastAsia"/>
                <w:b/>
                <w:snapToGrid w:val="0"/>
                <w:color w:val="000000" w:themeColor="text1"/>
                <w:kern w:val="0"/>
                <w:sz w:val="18"/>
                <w:szCs w:val="18"/>
              </w:rPr>
              <w:t>模块名称</w:t>
            </w:r>
          </w:p>
        </w:tc>
        <w:tc>
          <w:tcPr>
            <w:tcW w:w="3119" w:type="dxa"/>
            <w:vAlign w:val="center"/>
          </w:tcPr>
          <w:p w:rsidR="00532E58" w:rsidRPr="006B3CD6" w:rsidRDefault="00532E58" w:rsidP="00A925DB">
            <w:pPr>
              <w:adjustRightInd w:val="0"/>
              <w:snapToGrid w:val="0"/>
              <w:ind w:firstLine="198"/>
              <w:jc w:val="center"/>
              <w:rPr>
                <w:rFonts w:ascii="楷体" w:eastAsia="楷体" w:hAnsi="楷体" w:cs="Times New Roman"/>
                <w:b/>
                <w:snapToGrid w:val="0"/>
                <w:color w:val="000000" w:themeColor="text1"/>
                <w:kern w:val="0"/>
                <w:sz w:val="18"/>
                <w:szCs w:val="18"/>
              </w:rPr>
            </w:pPr>
            <w:r w:rsidRPr="006B3CD6">
              <w:rPr>
                <w:rFonts w:ascii="楷体" w:eastAsia="楷体" w:hAnsi="楷体" w:cs="Times New Roman" w:hint="eastAsia"/>
                <w:b/>
                <w:snapToGrid w:val="0"/>
                <w:color w:val="000000" w:themeColor="text1"/>
                <w:kern w:val="0"/>
                <w:sz w:val="18"/>
                <w:szCs w:val="18"/>
              </w:rPr>
              <w:t>竞赛时间</w:t>
            </w:r>
          </w:p>
        </w:tc>
      </w:tr>
      <w:tr w:rsidR="00532E58" w:rsidRPr="006B3CD6" w:rsidTr="00A925DB">
        <w:trPr>
          <w:trHeight w:hRule="exact" w:val="284"/>
          <w:jc w:val="center"/>
        </w:trPr>
        <w:tc>
          <w:tcPr>
            <w:tcW w:w="1809" w:type="dxa"/>
            <w:vAlign w:val="center"/>
          </w:tcPr>
          <w:p w:rsidR="00532E58" w:rsidRPr="006B3CD6" w:rsidRDefault="00532E58" w:rsidP="00A925DB">
            <w:pPr>
              <w:adjustRightInd w:val="0"/>
              <w:snapToGrid w:val="0"/>
              <w:ind w:firstLine="198"/>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1</w:t>
            </w:r>
          </w:p>
        </w:tc>
        <w:tc>
          <w:tcPr>
            <w:tcW w:w="3402" w:type="dxa"/>
            <w:vAlign w:val="center"/>
          </w:tcPr>
          <w:p w:rsidR="00532E58" w:rsidRPr="006B3CD6" w:rsidRDefault="00532E58" w:rsidP="00A925DB">
            <w:pPr>
              <w:adjustRightInd w:val="0"/>
              <w:snapToGrid w:val="0"/>
              <w:ind w:firstLine="198"/>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海运</w:t>
            </w:r>
          </w:p>
        </w:tc>
        <w:tc>
          <w:tcPr>
            <w:tcW w:w="3119" w:type="dxa"/>
            <w:vAlign w:val="center"/>
          </w:tcPr>
          <w:p w:rsidR="00532E58" w:rsidRPr="006B3CD6" w:rsidRDefault="00532E58" w:rsidP="00A925DB">
            <w:pPr>
              <w:adjustRightInd w:val="0"/>
              <w:snapToGrid w:val="0"/>
              <w:ind w:firstLine="198"/>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540分钟</w:t>
            </w:r>
          </w:p>
        </w:tc>
      </w:tr>
      <w:tr w:rsidR="00532E58" w:rsidRPr="006B3CD6" w:rsidTr="00A925DB">
        <w:trPr>
          <w:trHeight w:hRule="exact" w:val="284"/>
          <w:jc w:val="center"/>
        </w:trPr>
        <w:tc>
          <w:tcPr>
            <w:tcW w:w="1809" w:type="dxa"/>
            <w:vAlign w:val="center"/>
          </w:tcPr>
          <w:p w:rsidR="00532E58" w:rsidRPr="006B3CD6" w:rsidRDefault="00532E58" w:rsidP="00A925DB">
            <w:pPr>
              <w:adjustRightInd w:val="0"/>
              <w:snapToGrid w:val="0"/>
              <w:ind w:firstLine="198"/>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2</w:t>
            </w:r>
          </w:p>
        </w:tc>
        <w:tc>
          <w:tcPr>
            <w:tcW w:w="3402" w:type="dxa"/>
            <w:vAlign w:val="center"/>
          </w:tcPr>
          <w:p w:rsidR="00532E58" w:rsidRPr="006B3CD6" w:rsidRDefault="00532E58" w:rsidP="00A925DB">
            <w:pPr>
              <w:adjustRightInd w:val="0"/>
              <w:snapToGrid w:val="0"/>
              <w:ind w:firstLine="198"/>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空运</w:t>
            </w:r>
          </w:p>
        </w:tc>
        <w:tc>
          <w:tcPr>
            <w:tcW w:w="3119" w:type="dxa"/>
            <w:vAlign w:val="center"/>
          </w:tcPr>
          <w:p w:rsidR="00532E58" w:rsidRPr="006B3CD6" w:rsidRDefault="00532E58" w:rsidP="00A925DB">
            <w:pPr>
              <w:adjustRightInd w:val="0"/>
              <w:snapToGrid w:val="0"/>
              <w:ind w:firstLine="198"/>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180分钟</w:t>
            </w:r>
          </w:p>
        </w:tc>
      </w:tr>
    </w:tbl>
    <w:p w:rsidR="00532E58" w:rsidRPr="006B3CD6" w:rsidRDefault="00532E58" w:rsidP="00532E58">
      <w:pPr>
        <w:adjustRightInd w:val="0"/>
        <w:snapToGrid w:val="0"/>
        <w:spacing w:beforeLines="50" w:before="156"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五、竞赛规则</w:t>
      </w:r>
    </w:p>
    <w:p w:rsidR="00532E58" w:rsidRPr="006B3CD6" w:rsidRDefault="00532E58" w:rsidP="00532E5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（一）选手资格</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参赛选手须为普通高等学校全日制在籍高职学生。本科院校中高职类全日制在籍学生可报名参加本赛项比赛。五年制高职学生报名参赛的，须为四、五年级学生。选手性别不限,参赛选手年龄一般不超过25周岁，年龄计算的截止时间以2021年4月20日为准。</w:t>
      </w:r>
    </w:p>
    <w:p w:rsidR="00532E58" w:rsidRPr="006B3CD6" w:rsidRDefault="00532E58" w:rsidP="00532E5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（二）参赛名额</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本赛项报名以学校为单位，各校限额推荐3人参赛。个人赛每名选手限报1名指导教师，指导教师须为本校专兼职教师。</w:t>
      </w:r>
    </w:p>
    <w:p w:rsidR="00532E58" w:rsidRPr="006B3CD6" w:rsidRDefault="00532E58" w:rsidP="00532E5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（三）赛前准备</w:t>
      </w:r>
    </w:p>
    <w:p w:rsidR="00532E58" w:rsidRPr="006B3CD6" w:rsidRDefault="00532E58" w:rsidP="00532E58">
      <w:pPr>
        <w:adjustRightInd w:val="0"/>
        <w:snapToGrid w:val="0"/>
        <w:spacing w:line="336" w:lineRule="auto"/>
        <w:ind w:firstLineChars="200" w:firstLine="420"/>
        <w:rPr>
          <w:rFonts w:asciiTheme="minorEastAsia" w:hAnsiTheme="minorEastAsia" w:cs="Times New Roman"/>
          <w:bCs/>
          <w:snapToGrid w:val="0"/>
          <w:color w:val="000000" w:themeColor="text1"/>
          <w:kern w:val="0"/>
          <w:szCs w:val="21"/>
        </w:rPr>
      </w:pPr>
      <w:r w:rsidRPr="006B3CD6">
        <w:rPr>
          <w:rFonts w:asciiTheme="minorEastAsia" w:hAnsiTheme="minorEastAsia" w:cs="Times New Roman" w:hint="eastAsia"/>
          <w:bCs/>
          <w:snapToGrid w:val="0"/>
          <w:color w:val="000000" w:themeColor="text1"/>
          <w:kern w:val="0"/>
          <w:szCs w:val="21"/>
        </w:rPr>
        <w:t>1.抽签仪式</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抽签秉承“公开、公平、公正”的原则，由监督组全程监督。因特殊原因无法到场的参赛队，需提前告知赛项执委会。缺席参赛队若需委托代理人代为抽签的，需出具由本人亲笔签名的书面委托书并声明认可代理人的抽签结果。没有授权他人代为抽签且未按时到场抽签的参赛队，或无故缺席抽签环节的参赛队，将视为自动放弃比赛。</w:t>
      </w:r>
    </w:p>
    <w:p w:rsidR="00532E58" w:rsidRPr="006B3CD6" w:rsidRDefault="00532E58" w:rsidP="00532E58">
      <w:pPr>
        <w:adjustRightInd w:val="0"/>
        <w:snapToGrid w:val="0"/>
        <w:spacing w:line="336" w:lineRule="auto"/>
        <w:ind w:firstLineChars="200" w:firstLine="420"/>
        <w:rPr>
          <w:rFonts w:asciiTheme="minorEastAsia" w:hAnsiTheme="minorEastAsia" w:cs="Times New Roman"/>
          <w:bCs/>
          <w:snapToGrid w:val="0"/>
          <w:color w:val="000000" w:themeColor="text1"/>
          <w:kern w:val="0"/>
          <w:szCs w:val="21"/>
        </w:rPr>
      </w:pPr>
      <w:r w:rsidRPr="006B3CD6">
        <w:rPr>
          <w:rFonts w:asciiTheme="minorEastAsia" w:hAnsiTheme="minorEastAsia" w:cs="Times New Roman" w:hint="eastAsia"/>
          <w:bCs/>
          <w:snapToGrid w:val="0"/>
          <w:color w:val="000000" w:themeColor="text1"/>
          <w:kern w:val="0"/>
          <w:szCs w:val="21"/>
        </w:rPr>
        <w:t>2.参赛选手入场</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参赛选手应按照赛项执委会时间要求提前到达赛场，凭选手证、身份证检录，进行加密检录后进入赛场并根据抽签结果在对应的座位入座，裁判负责核对参赛队员信息；严禁参赛选手携带</w:t>
      </w:r>
      <w:r w:rsidRPr="006B3CD6">
        <w:rPr>
          <w:rFonts w:asciiTheme="minorEastAsia" w:hAnsiTheme="minorEastAsia" w:cs="Times New Roman" w:hint="eastAsia"/>
          <w:snapToGrid w:val="0"/>
          <w:color w:val="000000" w:themeColor="text1"/>
          <w:kern w:val="0"/>
          <w:szCs w:val="21"/>
        </w:rPr>
        <w:lastRenderedPageBreak/>
        <w:t>任何电子设备、通讯设备及其他相关资料与用品入场。参赛选手未按规定时间抵达赛场且错过加密检录的，以弃权论。</w:t>
      </w:r>
    </w:p>
    <w:p w:rsidR="00532E58" w:rsidRPr="006B3CD6" w:rsidRDefault="00532E58" w:rsidP="00532E5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（四）竞赛日赛场要求</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1.竞赛期间，赛场实行封闭管理，赛场内除指定的裁判、工作人员外，其他人员须凭赛项执委会配发的证件和标识进出赛场。允许进入赛场的人员，应遵守赛场规则，只可在规定区域内观摩比赛，不得与选手交谈，不得妨碍、干扰选手竞赛。</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2.参赛选手不得携带任何可能透露参赛队及个人信息的服装、标识或信息入场比赛，参赛选手不允许携带任何通讯及存储设备、纸质材料等物品进入赛场，赛项执委会将提供竞赛所需工具书、笔、纸张等必需品。</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3.参赛选手进入赛场必须听从现场裁判人员的统一布置和安排，比赛期间必须严格遵守安全操作规程，确保人身和设备安全。</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4.每场比赛结束前10分钟，裁判长提醒比赛即将结束，当宣布比赛结束后，参赛选手必须马上停止一切操作，按要求位置站立等候撤离比赛工位指令。</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5.</w:t>
      </w:r>
      <w:r>
        <w:rPr>
          <w:rFonts w:asciiTheme="minorEastAsia" w:hAnsiTheme="minorEastAsia" w:cs="Times New Roman" w:hint="eastAsia"/>
          <w:snapToGrid w:val="0"/>
          <w:color w:val="000000" w:themeColor="text1"/>
          <w:kern w:val="0"/>
          <w:szCs w:val="21"/>
        </w:rPr>
        <w:t>参赛队提交</w:t>
      </w:r>
      <w:r w:rsidRPr="006B3CD6">
        <w:rPr>
          <w:rFonts w:asciiTheme="minorEastAsia" w:hAnsiTheme="minorEastAsia" w:cs="Times New Roman" w:hint="eastAsia"/>
          <w:snapToGrid w:val="0"/>
          <w:color w:val="000000" w:themeColor="text1"/>
          <w:kern w:val="0"/>
          <w:szCs w:val="21"/>
        </w:rPr>
        <w:t>所有文件、单据等，凡要求参赛选手签字确认的，均签参赛选手参赛工位序号。</w:t>
      </w:r>
    </w:p>
    <w:p w:rsidR="00532E58" w:rsidRPr="006B3CD6" w:rsidRDefault="00532E58" w:rsidP="00532E5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（五）成绩公布</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1.各阶段竞赛结束后,成绩经复核无误后，由裁判长、监督员签字确认。</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2.竞赛最终成绩经复核无误并由裁判长、监督员签字确认后，进行公示。</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3.参赛队对竞赛成绩若有异议，应由领队按规程提出书面申诉。</w:t>
      </w:r>
    </w:p>
    <w:p w:rsidR="00532E58" w:rsidRPr="006B3CD6" w:rsidRDefault="00532E58" w:rsidP="00532E58">
      <w:pPr>
        <w:adjustRightInd w:val="0"/>
        <w:snapToGrid w:val="0"/>
        <w:spacing w:line="336" w:lineRule="auto"/>
        <w:ind w:firstLineChars="200" w:firstLine="420"/>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4.赛项获奖名单以公布的书面文件为准。</w:t>
      </w:r>
    </w:p>
    <w:p w:rsidR="00532E58" w:rsidRPr="006B3CD6" w:rsidRDefault="00532E58" w:rsidP="00532E5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六、竞赛环境</w:t>
      </w:r>
    </w:p>
    <w:p w:rsidR="00532E58" w:rsidRPr="006B3CD6" w:rsidRDefault="00532E58" w:rsidP="00532E5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（一）软硬件环境</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Pr>
          <w:rFonts w:asciiTheme="minorEastAsia" w:hAnsiTheme="minorEastAsia" w:cs="Times New Roman" w:hint="eastAsia"/>
          <w:snapToGrid w:val="0"/>
          <w:color w:val="000000" w:themeColor="text1"/>
          <w:kern w:val="0"/>
          <w:szCs w:val="21"/>
        </w:rPr>
        <w:t>赛场中选手电脑不</w:t>
      </w:r>
      <w:r w:rsidRPr="006B3CD6">
        <w:rPr>
          <w:rFonts w:asciiTheme="minorEastAsia" w:hAnsiTheme="minorEastAsia" w:cs="Times New Roman" w:hint="eastAsia"/>
          <w:snapToGrid w:val="0"/>
          <w:color w:val="000000" w:themeColor="text1"/>
          <w:kern w:val="0"/>
          <w:szCs w:val="21"/>
        </w:rPr>
        <w:t>接Internet</w:t>
      </w:r>
      <w:r>
        <w:rPr>
          <w:rFonts w:asciiTheme="minorEastAsia" w:hAnsiTheme="minorEastAsia" w:cs="Times New Roman" w:hint="eastAsia"/>
          <w:snapToGrid w:val="0"/>
          <w:color w:val="000000" w:themeColor="text1"/>
          <w:kern w:val="0"/>
          <w:szCs w:val="21"/>
        </w:rPr>
        <w:t>或其他公共网络，只连接赛场设置的服务器，存储选手</w:t>
      </w:r>
      <w:r w:rsidRPr="006B3CD6">
        <w:rPr>
          <w:rFonts w:asciiTheme="minorEastAsia" w:hAnsiTheme="minorEastAsia" w:cs="Times New Roman" w:hint="eastAsia"/>
          <w:snapToGrid w:val="0"/>
          <w:color w:val="000000" w:themeColor="text1"/>
          <w:kern w:val="0"/>
          <w:szCs w:val="21"/>
        </w:rPr>
        <w:t>成果。</w:t>
      </w:r>
    </w:p>
    <w:p w:rsidR="00532E58" w:rsidRPr="006B3CD6" w:rsidRDefault="00532E58" w:rsidP="00532E5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（二）比赛耗材</w:t>
      </w:r>
    </w:p>
    <w:p w:rsidR="00532E58" w:rsidRPr="006B3CD6" w:rsidRDefault="00532E58" w:rsidP="00532E58">
      <w:pPr>
        <w:adjustRightInd w:val="0"/>
        <w:snapToGrid w:val="0"/>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1.每名选手必须配备的耗材</w:t>
      </w:r>
    </w:p>
    <w:tbl>
      <w:tblPr>
        <w:tblW w:w="8522" w:type="dxa"/>
        <w:jc w:val="center"/>
        <w:tblBorders>
          <w:top w:val="single" w:sz="12" w:space="0" w:color="000000"/>
          <w:bottom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31"/>
        <w:gridCol w:w="2243"/>
        <w:gridCol w:w="1964"/>
        <w:gridCol w:w="1540"/>
        <w:gridCol w:w="1544"/>
      </w:tblGrid>
      <w:tr w:rsidR="00532E58" w:rsidRPr="006B3CD6" w:rsidTr="00A925DB">
        <w:trPr>
          <w:trHeight w:hRule="exact" w:val="284"/>
          <w:jc w:val="center"/>
        </w:trPr>
        <w:tc>
          <w:tcPr>
            <w:tcW w:w="1231" w:type="dxa"/>
            <w:vAlign w:val="center"/>
          </w:tcPr>
          <w:p w:rsidR="00532E58" w:rsidRPr="006B3CD6" w:rsidRDefault="00532E58" w:rsidP="00A925DB">
            <w:pPr>
              <w:adjustRightInd w:val="0"/>
              <w:snapToGrid w:val="0"/>
              <w:jc w:val="center"/>
              <w:rPr>
                <w:rFonts w:ascii="楷体" w:eastAsia="楷体" w:hAnsi="楷体" w:cs="Times New Roman"/>
                <w:b/>
                <w:snapToGrid w:val="0"/>
                <w:color w:val="000000" w:themeColor="text1"/>
                <w:kern w:val="0"/>
                <w:sz w:val="18"/>
                <w:szCs w:val="18"/>
              </w:rPr>
            </w:pPr>
            <w:r w:rsidRPr="006B3CD6">
              <w:rPr>
                <w:rFonts w:ascii="楷体" w:eastAsia="楷体" w:hAnsi="楷体" w:cs="Times New Roman" w:hint="eastAsia"/>
                <w:b/>
                <w:snapToGrid w:val="0"/>
                <w:color w:val="000000" w:themeColor="text1"/>
                <w:kern w:val="0"/>
                <w:sz w:val="18"/>
                <w:szCs w:val="18"/>
              </w:rPr>
              <w:t>序号</w:t>
            </w:r>
          </w:p>
        </w:tc>
        <w:tc>
          <w:tcPr>
            <w:tcW w:w="2243" w:type="dxa"/>
            <w:vAlign w:val="center"/>
          </w:tcPr>
          <w:p w:rsidR="00532E58" w:rsidRPr="006B3CD6" w:rsidRDefault="00532E58" w:rsidP="00A925DB">
            <w:pPr>
              <w:adjustRightInd w:val="0"/>
              <w:snapToGrid w:val="0"/>
              <w:jc w:val="center"/>
              <w:rPr>
                <w:rFonts w:ascii="楷体" w:eastAsia="楷体" w:hAnsi="楷体" w:cs="Times New Roman"/>
                <w:b/>
                <w:snapToGrid w:val="0"/>
                <w:color w:val="000000" w:themeColor="text1"/>
                <w:kern w:val="0"/>
                <w:sz w:val="18"/>
                <w:szCs w:val="18"/>
              </w:rPr>
            </w:pPr>
            <w:r w:rsidRPr="006B3CD6">
              <w:rPr>
                <w:rFonts w:ascii="楷体" w:eastAsia="楷体" w:hAnsi="楷体" w:cs="Times New Roman" w:hint="eastAsia"/>
                <w:b/>
                <w:snapToGrid w:val="0"/>
                <w:color w:val="000000" w:themeColor="text1"/>
                <w:kern w:val="0"/>
                <w:sz w:val="18"/>
                <w:szCs w:val="18"/>
              </w:rPr>
              <w:t>设备名称</w:t>
            </w:r>
          </w:p>
        </w:tc>
        <w:tc>
          <w:tcPr>
            <w:tcW w:w="1964" w:type="dxa"/>
            <w:vAlign w:val="center"/>
          </w:tcPr>
          <w:p w:rsidR="00532E58" w:rsidRPr="006B3CD6" w:rsidRDefault="00532E58" w:rsidP="00A925DB">
            <w:pPr>
              <w:adjustRightInd w:val="0"/>
              <w:snapToGrid w:val="0"/>
              <w:jc w:val="center"/>
              <w:rPr>
                <w:rFonts w:ascii="楷体" w:eastAsia="楷体" w:hAnsi="楷体" w:cs="Times New Roman"/>
                <w:b/>
                <w:snapToGrid w:val="0"/>
                <w:color w:val="000000" w:themeColor="text1"/>
                <w:kern w:val="0"/>
                <w:sz w:val="18"/>
                <w:szCs w:val="18"/>
              </w:rPr>
            </w:pPr>
            <w:r w:rsidRPr="006B3CD6">
              <w:rPr>
                <w:rFonts w:ascii="楷体" w:eastAsia="楷体" w:hAnsi="楷体" w:cs="Times New Roman" w:hint="eastAsia"/>
                <w:b/>
                <w:snapToGrid w:val="0"/>
                <w:color w:val="000000" w:themeColor="text1"/>
                <w:kern w:val="0"/>
                <w:sz w:val="18"/>
                <w:szCs w:val="18"/>
              </w:rPr>
              <w:t>型号</w:t>
            </w:r>
          </w:p>
        </w:tc>
        <w:tc>
          <w:tcPr>
            <w:tcW w:w="1540" w:type="dxa"/>
            <w:vAlign w:val="center"/>
          </w:tcPr>
          <w:p w:rsidR="00532E58" w:rsidRPr="006B3CD6" w:rsidRDefault="00532E58" w:rsidP="00A925DB">
            <w:pPr>
              <w:adjustRightInd w:val="0"/>
              <w:snapToGrid w:val="0"/>
              <w:jc w:val="center"/>
              <w:rPr>
                <w:rFonts w:ascii="楷体" w:eastAsia="楷体" w:hAnsi="楷体" w:cs="Times New Roman"/>
                <w:b/>
                <w:snapToGrid w:val="0"/>
                <w:color w:val="000000" w:themeColor="text1"/>
                <w:kern w:val="0"/>
                <w:sz w:val="18"/>
                <w:szCs w:val="18"/>
              </w:rPr>
            </w:pPr>
            <w:r w:rsidRPr="006B3CD6">
              <w:rPr>
                <w:rFonts w:ascii="楷体" w:eastAsia="楷体" w:hAnsi="楷体" w:cs="Times New Roman" w:hint="eastAsia"/>
                <w:b/>
                <w:snapToGrid w:val="0"/>
                <w:color w:val="000000" w:themeColor="text1"/>
                <w:kern w:val="0"/>
                <w:sz w:val="18"/>
                <w:szCs w:val="18"/>
              </w:rPr>
              <w:t>单位</w:t>
            </w:r>
          </w:p>
        </w:tc>
        <w:tc>
          <w:tcPr>
            <w:tcW w:w="1544" w:type="dxa"/>
            <w:vAlign w:val="center"/>
          </w:tcPr>
          <w:p w:rsidR="00532E58" w:rsidRPr="006B3CD6" w:rsidRDefault="00532E58" w:rsidP="00A925DB">
            <w:pPr>
              <w:adjustRightInd w:val="0"/>
              <w:snapToGrid w:val="0"/>
              <w:jc w:val="center"/>
              <w:rPr>
                <w:rFonts w:ascii="楷体" w:eastAsia="楷体" w:hAnsi="楷体" w:cs="Times New Roman"/>
                <w:b/>
                <w:snapToGrid w:val="0"/>
                <w:color w:val="000000" w:themeColor="text1"/>
                <w:kern w:val="0"/>
                <w:sz w:val="18"/>
                <w:szCs w:val="18"/>
              </w:rPr>
            </w:pPr>
            <w:r w:rsidRPr="006B3CD6">
              <w:rPr>
                <w:rFonts w:ascii="楷体" w:eastAsia="楷体" w:hAnsi="楷体" w:cs="Times New Roman" w:hint="eastAsia"/>
                <w:b/>
                <w:snapToGrid w:val="0"/>
                <w:color w:val="000000" w:themeColor="text1"/>
                <w:kern w:val="0"/>
                <w:sz w:val="18"/>
                <w:szCs w:val="18"/>
              </w:rPr>
              <w:t>数量</w:t>
            </w:r>
          </w:p>
        </w:tc>
      </w:tr>
      <w:tr w:rsidR="00532E58" w:rsidRPr="006B3CD6" w:rsidTr="00A925DB">
        <w:trPr>
          <w:trHeight w:hRule="exact" w:val="284"/>
          <w:jc w:val="center"/>
        </w:trPr>
        <w:tc>
          <w:tcPr>
            <w:tcW w:w="1231"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1</w:t>
            </w:r>
          </w:p>
        </w:tc>
        <w:tc>
          <w:tcPr>
            <w:tcW w:w="2243"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打印纸</w:t>
            </w:r>
          </w:p>
        </w:tc>
        <w:tc>
          <w:tcPr>
            <w:tcW w:w="1964"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A4纸张</w:t>
            </w:r>
          </w:p>
        </w:tc>
        <w:tc>
          <w:tcPr>
            <w:tcW w:w="1540"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张</w:t>
            </w:r>
          </w:p>
        </w:tc>
        <w:tc>
          <w:tcPr>
            <w:tcW w:w="1544"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若干</w:t>
            </w:r>
          </w:p>
        </w:tc>
      </w:tr>
      <w:tr w:rsidR="00532E58" w:rsidRPr="006B3CD6" w:rsidTr="00A925DB">
        <w:trPr>
          <w:trHeight w:hRule="exact" w:val="284"/>
          <w:jc w:val="center"/>
        </w:trPr>
        <w:tc>
          <w:tcPr>
            <w:tcW w:w="1231"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2</w:t>
            </w:r>
          </w:p>
        </w:tc>
        <w:tc>
          <w:tcPr>
            <w:tcW w:w="2243"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移动存储设备</w:t>
            </w:r>
          </w:p>
        </w:tc>
        <w:tc>
          <w:tcPr>
            <w:tcW w:w="1964"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不指定</w:t>
            </w:r>
          </w:p>
        </w:tc>
        <w:tc>
          <w:tcPr>
            <w:tcW w:w="1540"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个</w:t>
            </w:r>
          </w:p>
        </w:tc>
        <w:tc>
          <w:tcPr>
            <w:tcW w:w="1544"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1</w:t>
            </w:r>
          </w:p>
        </w:tc>
      </w:tr>
      <w:tr w:rsidR="00532E58" w:rsidRPr="006B3CD6" w:rsidTr="00A925DB">
        <w:trPr>
          <w:trHeight w:hRule="exact" w:val="284"/>
          <w:jc w:val="center"/>
        </w:trPr>
        <w:tc>
          <w:tcPr>
            <w:tcW w:w="1231"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3</w:t>
            </w:r>
          </w:p>
        </w:tc>
        <w:tc>
          <w:tcPr>
            <w:tcW w:w="2243"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签字笔</w:t>
            </w:r>
          </w:p>
        </w:tc>
        <w:tc>
          <w:tcPr>
            <w:tcW w:w="1964"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不指定</w:t>
            </w:r>
          </w:p>
        </w:tc>
        <w:tc>
          <w:tcPr>
            <w:tcW w:w="1540"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支</w:t>
            </w:r>
          </w:p>
        </w:tc>
        <w:tc>
          <w:tcPr>
            <w:tcW w:w="1544"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若干</w:t>
            </w:r>
          </w:p>
        </w:tc>
      </w:tr>
    </w:tbl>
    <w:p w:rsidR="00532E58" w:rsidRPr="006B3CD6" w:rsidRDefault="00532E58" w:rsidP="00532E58">
      <w:pPr>
        <w:adjustRightInd w:val="0"/>
        <w:snapToGrid w:val="0"/>
        <w:spacing w:beforeLines="50" w:before="156" w:line="336" w:lineRule="auto"/>
        <w:ind w:firstLineChars="200" w:firstLine="420"/>
        <w:rPr>
          <w:rFonts w:asciiTheme="minorEastAsia" w:hAnsiTheme="minorEastAsia" w:cs="Times New Roman"/>
          <w:snapToGrid w:val="0"/>
          <w:color w:val="000000" w:themeColor="text1"/>
          <w:kern w:val="0"/>
          <w:szCs w:val="21"/>
        </w:rPr>
      </w:pPr>
      <w:bookmarkStart w:id="3" w:name="_Toc511829443"/>
      <w:bookmarkStart w:id="4" w:name="_Toc511831129"/>
      <w:r w:rsidRPr="006B3CD6">
        <w:rPr>
          <w:rFonts w:asciiTheme="minorEastAsia" w:hAnsiTheme="minorEastAsia" w:cs="Times New Roman" w:hint="eastAsia"/>
          <w:snapToGrid w:val="0"/>
          <w:color w:val="000000" w:themeColor="text1"/>
          <w:kern w:val="0"/>
          <w:szCs w:val="21"/>
        </w:rPr>
        <w:t>2.竞赛场地禁止自带使用的设备和材料</w:t>
      </w:r>
      <w:bookmarkEnd w:id="3"/>
      <w:bookmarkEnd w:id="4"/>
    </w:p>
    <w:tbl>
      <w:tblPr>
        <w:tblW w:w="8522" w:type="dxa"/>
        <w:jc w:val="center"/>
        <w:tblBorders>
          <w:top w:val="single" w:sz="12" w:space="0" w:color="000000"/>
          <w:bottom w:val="single" w:sz="12" w:space="0" w:color="000000"/>
          <w:insideH w:val="single" w:sz="6" w:space="0" w:color="000000"/>
          <w:insideV w:val="single" w:sz="6" w:space="0" w:color="000000"/>
        </w:tblBorders>
        <w:tblLayout w:type="fixed"/>
        <w:tblLook w:val="04A0" w:firstRow="1" w:lastRow="0" w:firstColumn="1" w:lastColumn="0" w:noHBand="0" w:noVBand="1"/>
      </w:tblPr>
      <w:tblGrid>
        <w:gridCol w:w="1231"/>
        <w:gridCol w:w="7291"/>
      </w:tblGrid>
      <w:tr w:rsidR="00532E58" w:rsidRPr="006B3CD6" w:rsidTr="00A925DB">
        <w:trPr>
          <w:trHeight w:hRule="exact" w:val="284"/>
          <w:jc w:val="center"/>
        </w:trPr>
        <w:tc>
          <w:tcPr>
            <w:tcW w:w="1231" w:type="dxa"/>
            <w:vAlign w:val="center"/>
          </w:tcPr>
          <w:p w:rsidR="00532E58" w:rsidRPr="006B3CD6" w:rsidRDefault="00532E58" w:rsidP="00A925DB">
            <w:pPr>
              <w:adjustRightInd w:val="0"/>
              <w:snapToGrid w:val="0"/>
              <w:jc w:val="center"/>
              <w:rPr>
                <w:rFonts w:ascii="楷体" w:eastAsia="楷体" w:hAnsi="楷体" w:cs="Times New Roman"/>
                <w:b/>
                <w:snapToGrid w:val="0"/>
                <w:color w:val="000000" w:themeColor="text1"/>
                <w:kern w:val="0"/>
                <w:sz w:val="18"/>
                <w:szCs w:val="18"/>
              </w:rPr>
            </w:pPr>
            <w:r w:rsidRPr="006B3CD6">
              <w:rPr>
                <w:rFonts w:ascii="楷体" w:eastAsia="楷体" w:hAnsi="楷体" w:cs="Times New Roman" w:hint="eastAsia"/>
                <w:b/>
                <w:snapToGrid w:val="0"/>
                <w:color w:val="000000" w:themeColor="text1"/>
                <w:kern w:val="0"/>
                <w:sz w:val="18"/>
                <w:szCs w:val="18"/>
              </w:rPr>
              <w:t>序号</w:t>
            </w:r>
          </w:p>
        </w:tc>
        <w:tc>
          <w:tcPr>
            <w:tcW w:w="7291" w:type="dxa"/>
            <w:vAlign w:val="center"/>
          </w:tcPr>
          <w:p w:rsidR="00532E58" w:rsidRPr="006B3CD6" w:rsidRDefault="00532E58" w:rsidP="00A925DB">
            <w:pPr>
              <w:adjustRightInd w:val="0"/>
              <w:snapToGrid w:val="0"/>
              <w:jc w:val="center"/>
              <w:rPr>
                <w:rFonts w:ascii="楷体" w:eastAsia="楷体" w:hAnsi="楷体" w:cs="Times New Roman"/>
                <w:b/>
                <w:snapToGrid w:val="0"/>
                <w:color w:val="000000" w:themeColor="text1"/>
                <w:kern w:val="0"/>
                <w:sz w:val="18"/>
                <w:szCs w:val="18"/>
              </w:rPr>
            </w:pPr>
            <w:r w:rsidRPr="006B3CD6">
              <w:rPr>
                <w:rFonts w:ascii="楷体" w:eastAsia="楷体" w:hAnsi="楷体" w:cs="Times New Roman" w:hint="eastAsia"/>
                <w:b/>
                <w:snapToGrid w:val="0"/>
                <w:color w:val="000000" w:themeColor="text1"/>
                <w:kern w:val="0"/>
                <w:sz w:val="18"/>
                <w:szCs w:val="18"/>
              </w:rPr>
              <w:t>设备和材料名称</w:t>
            </w:r>
          </w:p>
        </w:tc>
      </w:tr>
      <w:tr w:rsidR="00532E58" w:rsidRPr="006B3CD6" w:rsidTr="00A925DB">
        <w:trPr>
          <w:trHeight w:hRule="exact" w:val="284"/>
          <w:jc w:val="center"/>
        </w:trPr>
        <w:tc>
          <w:tcPr>
            <w:tcW w:w="1231"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1</w:t>
            </w:r>
          </w:p>
        </w:tc>
        <w:tc>
          <w:tcPr>
            <w:tcW w:w="7291"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手机</w:t>
            </w:r>
          </w:p>
        </w:tc>
      </w:tr>
      <w:tr w:rsidR="00532E58" w:rsidRPr="006B3CD6" w:rsidTr="00A925DB">
        <w:trPr>
          <w:trHeight w:hRule="exact" w:val="284"/>
          <w:jc w:val="center"/>
        </w:trPr>
        <w:tc>
          <w:tcPr>
            <w:tcW w:w="1231"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2</w:t>
            </w:r>
          </w:p>
        </w:tc>
        <w:tc>
          <w:tcPr>
            <w:tcW w:w="7291"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蓝牙设备</w:t>
            </w:r>
          </w:p>
        </w:tc>
      </w:tr>
      <w:tr w:rsidR="00532E58" w:rsidRPr="006B3CD6" w:rsidTr="00A925DB">
        <w:trPr>
          <w:trHeight w:hRule="exact" w:val="284"/>
          <w:jc w:val="center"/>
        </w:trPr>
        <w:tc>
          <w:tcPr>
            <w:tcW w:w="1231"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3</w:t>
            </w:r>
          </w:p>
        </w:tc>
        <w:tc>
          <w:tcPr>
            <w:tcW w:w="7291"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无线接收器</w:t>
            </w:r>
          </w:p>
        </w:tc>
      </w:tr>
      <w:tr w:rsidR="00532E58" w:rsidRPr="006B3CD6" w:rsidTr="00A925DB">
        <w:trPr>
          <w:trHeight w:hRule="exact" w:val="284"/>
          <w:jc w:val="center"/>
        </w:trPr>
        <w:tc>
          <w:tcPr>
            <w:tcW w:w="1231"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4</w:t>
            </w:r>
          </w:p>
        </w:tc>
        <w:tc>
          <w:tcPr>
            <w:tcW w:w="7291"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其他电子设备</w:t>
            </w:r>
          </w:p>
        </w:tc>
      </w:tr>
      <w:tr w:rsidR="00532E58" w:rsidRPr="006B3CD6" w:rsidTr="00A925DB">
        <w:trPr>
          <w:trHeight w:hRule="exact" w:val="284"/>
          <w:jc w:val="center"/>
        </w:trPr>
        <w:tc>
          <w:tcPr>
            <w:tcW w:w="1231"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5</w:t>
            </w:r>
          </w:p>
        </w:tc>
        <w:tc>
          <w:tcPr>
            <w:tcW w:w="7291"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其他比赛禁止的物品</w:t>
            </w:r>
          </w:p>
        </w:tc>
      </w:tr>
    </w:tbl>
    <w:p w:rsidR="00532E58" w:rsidRPr="006B3CD6" w:rsidRDefault="00532E58" w:rsidP="00532E58">
      <w:pPr>
        <w:adjustRightInd w:val="0"/>
        <w:snapToGrid w:val="0"/>
        <w:spacing w:beforeLines="50" w:before="156"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七、技术规范</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1.国际商会《2010国际贸易术语解释通则》</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2.《国际货运代理业务统计导则》（GB/T 22152-2008）</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lastRenderedPageBreak/>
        <w:t>3.《国际货运代理通用交易条件》（GB/T 22153-2008）</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4.《国际货运代理服务质量要求》（GB/T 22154-2008）</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5.《国际货运代理企业资质和等级评价指标》（GB/T 22155-2008）</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6.《国际货运代理作业规范》（GB/T 22151-2008）</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7.《国际贸易计量单位代码》（GB/T 17295-2008）</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8.《海上国际集装箱货物交付单证》（GB/T 18156-2000）</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9.《物流术语》</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10.《中华人民共和国进出口关税条例》</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11.《中华人民共和国进出口货物原产地条例》</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12.《中华人民共和国知识产权海关保护条例》</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13.《中华人民共和国海关进出口货物报关单填制规范》</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14.《关于跨境电子商务零售进出口商品有关监管事宜的公告》</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15.世界海关组织《商品名称及编码协调制度》</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16.中国海关《进出口税则商品及品目注释》</w:t>
      </w:r>
    </w:p>
    <w:p w:rsidR="00532E58" w:rsidRPr="006B3CD6" w:rsidRDefault="00532E58" w:rsidP="00532E58">
      <w:pPr>
        <w:adjustRightInd w:val="0"/>
        <w:snapToGrid w:val="0"/>
        <w:spacing w:line="336" w:lineRule="auto"/>
        <w:ind w:firstLineChars="200" w:firstLine="420"/>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17.世界海关组织《全球贸易安全与便利标准框架》</w:t>
      </w:r>
    </w:p>
    <w:p w:rsidR="00532E58" w:rsidRPr="006B3CD6" w:rsidRDefault="00532E58" w:rsidP="00532E5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八、成绩评定</w:t>
      </w:r>
    </w:p>
    <w:p w:rsidR="00532E58" w:rsidRPr="006B3CD6" w:rsidRDefault="00532E58" w:rsidP="00532E5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（一）评分标准制定原则</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采用过程评价与结果评价相结合、行业技能评价与职业素养评价相结合的评价方式，评分标准以“公开、公平、公正”为原则。为了保证评分“公开、公平、公正”，采取以下措施：</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1.赛项考核内容、样题、部分题库和评分标准提前公开，使各参赛队处于公平备赛状态。</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2.赛项执委会统一提供竞赛用品，提前开放竞赛赛场，使各参赛队所在赛场条件一致。</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3.</w:t>
      </w:r>
      <w:r>
        <w:rPr>
          <w:rFonts w:asciiTheme="minorEastAsia" w:hAnsiTheme="minorEastAsia" w:cs="Times New Roman" w:hint="eastAsia"/>
          <w:snapToGrid w:val="0"/>
          <w:color w:val="000000" w:themeColor="text1"/>
          <w:kern w:val="0"/>
          <w:szCs w:val="21"/>
        </w:rPr>
        <w:t>赛项执委会通过赛项说明会、大赛官网等发布官方信息，使</w:t>
      </w:r>
      <w:r w:rsidRPr="006B3CD6">
        <w:rPr>
          <w:rFonts w:asciiTheme="minorEastAsia" w:hAnsiTheme="minorEastAsia" w:cs="Times New Roman" w:hint="eastAsia"/>
          <w:snapToGrid w:val="0"/>
          <w:color w:val="000000" w:themeColor="text1"/>
          <w:kern w:val="0"/>
          <w:szCs w:val="21"/>
        </w:rPr>
        <w:t>参赛队获取赛项信息渠道一致。</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4.整个竞赛过程全程录像和监控，保证无人为因素影响成绩，使各参赛队处于公开、公平、公正、独立和透明的竞赛环境。</w:t>
      </w:r>
    </w:p>
    <w:p w:rsidR="00532E58" w:rsidRPr="006B3CD6" w:rsidRDefault="00532E58" w:rsidP="00532E5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（二）评分标准</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本项目评分标准分为测量和评价两类。凡可采用客观数据表述的评判称为测量；凡需要采用主观描述进行的评判称为评价。</w:t>
      </w:r>
      <w:bookmarkStart w:id="5" w:name="_Toc481314006"/>
      <w:bookmarkStart w:id="6" w:name="_Toc511831120"/>
      <w:bookmarkStart w:id="7" w:name="_Toc511829432"/>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1.评价分</w:t>
      </w:r>
      <w:bookmarkEnd w:id="5"/>
      <w:r w:rsidRPr="006B3CD6">
        <w:rPr>
          <w:rFonts w:asciiTheme="minorEastAsia" w:hAnsiTheme="minorEastAsia" w:cs="Times New Roman" w:hint="eastAsia"/>
          <w:snapToGrid w:val="0"/>
          <w:color w:val="000000" w:themeColor="text1"/>
          <w:kern w:val="0"/>
          <w:szCs w:val="21"/>
        </w:rPr>
        <w:t>（主观）</w:t>
      </w:r>
      <w:bookmarkEnd w:id="6"/>
      <w:bookmarkEnd w:id="7"/>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评价分（Judgement）打分方式：按工作任务设置评分组，裁判评分分差必须小于等于1分为有效评分。</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分数区间大致按照以下标准划分：</w:t>
      </w:r>
    </w:p>
    <w:tbl>
      <w:tblPr>
        <w:tblW w:w="8522" w:type="dxa"/>
        <w:jc w:val="center"/>
        <w:tblBorders>
          <w:top w:val="single" w:sz="12" w:space="0" w:color="auto"/>
          <w:bottom w:val="single" w:sz="12" w:space="0" w:color="auto"/>
          <w:insideH w:val="single" w:sz="4" w:space="0" w:color="auto"/>
          <w:insideV w:val="single" w:sz="4" w:space="0" w:color="auto"/>
        </w:tblBorders>
        <w:tblLayout w:type="fixed"/>
        <w:tblLook w:val="04A0" w:firstRow="1" w:lastRow="0" w:firstColumn="1" w:lastColumn="0" w:noHBand="0" w:noVBand="1"/>
      </w:tblPr>
      <w:tblGrid>
        <w:gridCol w:w="1510"/>
        <w:gridCol w:w="7012"/>
      </w:tblGrid>
      <w:tr w:rsidR="00532E58" w:rsidRPr="006B3CD6" w:rsidTr="00A925DB">
        <w:trPr>
          <w:trHeight w:hRule="exact" w:val="284"/>
          <w:jc w:val="center"/>
        </w:trPr>
        <w:tc>
          <w:tcPr>
            <w:tcW w:w="1510" w:type="dxa"/>
            <w:tcBorders>
              <w:top w:val="single" w:sz="12" w:space="0" w:color="auto"/>
            </w:tcBorders>
            <w:vAlign w:val="center"/>
          </w:tcPr>
          <w:p w:rsidR="00532E58" w:rsidRPr="006B3CD6" w:rsidRDefault="00532E58" w:rsidP="00A925DB">
            <w:pPr>
              <w:adjustRightInd w:val="0"/>
              <w:snapToGrid w:val="0"/>
              <w:jc w:val="center"/>
              <w:rPr>
                <w:rFonts w:ascii="楷体" w:eastAsia="楷体" w:hAnsi="楷体" w:cs="Times New Roman"/>
                <w:b/>
                <w:snapToGrid w:val="0"/>
                <w:color w:val="000000" w:themeColor="text1"/>
                <w:kern w:val="0"/>
                <w:sz w:val="18"/>
                <w:szCs w:val="18"/>
              </w:rPr>
            </w:pPr>
            <w:r w:rsidRPr="006B3CD6">
              <w:rPr>
                <w:rFonts w:ascii="楷体" w:eastAsia="楷体" w:hAnsi="楷体" w:cs="Times New Roman" w:hint="eastAsia"/>
                <w:b/>
                <w:snapToGrid w:val="0"/>
                <w:color w:val="000000" w:themeColor="text1"/>
                <w:kern w:val="0"/>
                <w:sz w:val="18"/>
                <w:szCs w:val="18"/>
              </w:rPr>
              <w:t>权重分值</w:t>
            </w:r>
          </w:p>
        </w:tc>
        <w:tc>
          <w:tcPr>
            <w:tcW w:w="7012" w:type="dxa"/>
            <w:tcBorders>
              <w:top w:val="single" w:sz="12" w:space="0" w:color="auto"/>
            </w:tcBorders>
            <w:vAlign w:val="center"/>
          </w:tcPr>
          <w:p w:rsidR="00532E58" w:rsidRPr="006B3CD6" w:rsidRDefault="00532E58" w:rsidP="00A925DB">
            <w:pPr>
              <w:adjustRightInd w:val="0"/>
              <w:snapToGrid w:val="0"/>
              <w:jc w:val="center"/>
              <w:rPr>
                <w:rFonts w:ascii="楷体" w:eastAsia="楷体" w:hAnsi="楷体" w:cs="Times New Roman"/>
                <w:b/>
                <w:snapToGrid w:val="0"/>
                <w:color w:val="000000" w:themeColor="text1"/>
                <w:kern w:val="0"/>
                <w:sz w:val="18"/>
                <w:szCs w:val="18"/>
              </w:rPr>
            </w:pPr>
            <w:r w:rsidRPr="006B3CD6">
              <w:rPr>
                <w:rFonts w:ascii="楷体" w:eastAsia="楷体" w:hAnsi="楷体" w:cs="Times New Roman" w:hint="eastAsia"/>
                <w:b/>
                <w:snapToGrid w:val="0"/>
                <w:color w:val="000000" w:themeColor="text1"/>
                <w:kern w:val="0"/>
                <w:sz w:val="18"/>
                <w:szCs w:val="18"/>
              </w:rPr>
              <w:t>要求描述</w:t>
            </w:r>
          </w:p>
        </w:tc>
      </w:tr>
      <w:tr w:rsidR="00532E58" w:rsidRPr="006B3CD6" w:rsidTr="00A925DB">
        <w:trPr>
          <w:trHeight w:hRule="exact" w:val="284"/>
          <w:jc w:val="center"/>
        </w:trPr>
        <w:tc>
          <w:tcPr>
            <w:tcW w:w="1510"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0分</w:t>
            </w:r>
          </w:p>
        </w:tc>
        <w:tc>
          <w:tcPr>
            <w:tcW w:w="7012"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表现不符合行业要求</w:t>
            </w:r>
          </w:p>
        </w:tc>
      </w:tr>
      <w:tr w:rsidR="00532E58" w:rsidRPr="006B3CD6" w:rsidTr="00A925DB">
        <w:trPr>
          <w:trHeight w:hRule="exact" w:val="284"/>
          <w:jc w:val="center"/>
        </w:trPr>
        <w:tc>
          <w:tcPr>
            <w:tcW w:w="1510"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1分</w:t>
            </w:r>
          </w:p>
        </w:tc>
        <w:tc>
          <w:tcPr>
            <w:tcW w:w="7012"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表现可以被行业接受</w:t>
            </w:r>
          </w:p>
        </w:tc>
      </w:tr>
      <w:tr w:rsidR="00532E58" w:rsidRPr="006B3CD6" w:rsidTr="00A925DB">
        <w:trPr>
          <w:trHeight w:hRule="exact" w:val="284"/>
          <w:jc w:val="center"/>
        </w:trPr>
        <w:tc>
          <w:tcPr>
            <w:tcW w:w="1510"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2分</w:t>
            </w:r>
          </w:p>
        </w:tc>
        <w:tc>
          <w:tcPr>
            <w:tcW w:w="7012"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表现可以被行业接受，而且还展现出一些高质量的特点</w:t>
            </w:r>
          </w:p>
        </w:tc>
      </w:tr>
      <w:tr w:rsidR="00532E58" w:rsidRPr="006B3CD6" w:rsidTr="00A925DB">
        <w:trPr>
          <w:trHeight w:hRule="exact" w:val="284"/>
          <w:jc w:val="center"/>
        </w:trPr>
        <w:tc>
          <w:tcPr>
            <w:tcW w:w="1510" w:type="dxa"/>
            <w:tcBorders>
              <w:bottom w:val="single" w:sz="12" w:space="0" w:color="auto"/>
            </w:tcBorders>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3分</w:t>
            </w:r>
          </w:p>
        </w:tc>
        <w:tc>
          <w:tcPr>
            <w:tcW w:w="7012" w:type="dxa"/>
            <w:tcBorders>
              <w:bottom w:val="single" w:sz="12" w:space="0" w:color="auto"/>
            </w:tcBorders>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表现十分优秀</w:t>
            </w:r>
          </w:p>
        </w:tc>
      </w:tr>
    </w:tbl>
    <w:p w:rsidR="00532E58" w:rsidRPr="006B3CD6" w:rsidRDefault="00532E58" w:rsidP="00532E58">
      <w:pPr>
        <w:adjustRightInd w:val="0"/>
        <w:snapToGrid w:val="0"/>
        <w:spacing w:beforeLines="50" w:before="156" w:line="336" w:lineRule="auto"/>
        <w:ind w:firstLineChars="200" w:firstLine="420"/>
        <w:rPr>
          <w:rFonts w:asciiTheme="minorEastAsia" w:hAnsiTheme="minorEastAsia" w:cs="Times New Roman"/>
          <w:snapToGrid w:val="0"/>
          <w:color w:val="000000" w:themeColor="text1"/>
          <w:kern w:val="0"/>
          <w:szCs w:val="21"/>
        </w:rPr>
      </w:pPr>
      <w:bookmarkStart w:id="8" w:name="_Toc481314007"/>
      <w:bookmarkStart w:id="9" w:name="_Toc511831121"/>
      <w:bookmarkStart w:id="10" w:name="_Toc511829433"/>
      <w:r w:rsidRPr="006B3CD6">
        <w:rPr>
          <w:rFonts w:asciiTheme="minorEastAsia" w:hAnsiTheme="minorEastAsia" w:cs="Times New Roman" w:hint="eastAsia"/>
          <w:snapToGrid w:val="0"/>
          <w:color w:val="000000" w:themeColor="text1"/>
          <w:kern w:val="0"/>
          <w:szCs w:val="21"/>
        </w:rPr>
        <w:t>2.测量分</w:t>
      </w:r>
      <w:bookmarkEnd w:id="8"/>
      <w:r w:rsidRPr="006B3CD6">
        <w:rPr>
          <w:rFonts w:asciiTheme="minorEastAsia" w:hAnsiTheme="minorEastAsia" w:cs="Times New Roman" w:hint="eastAsia"/>
          <w:snapToGrid w:val="0"/>
          <w:color w:val="000000" w:themeColor="text1"/>
          <w:kern w:val="0"/>
          <w:szCs w:val="21"/>
        </w:rPr>
        <w:t>（客观）</w:t>
      </w:r>
      <w:bookmarkEnd w:id="9"/>
      <w:bookmarkEnd w:id="10"/>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bookmarkStart w:id="11" w:name="OLE_LINK10"/>
      <w:bookmarkStart w:id="12" w:name="OLE_LINK9"/>
      <w:r>
        <w:rPr>
          <w:rFonts w:asciiTheme="minorEastAsia" w:hAnsiTheme="minorEastAsia" w:cs="Times New Roman" w:hint="eastAsia"/>
          <w:snapToGrid w:val="0"/>
          <w:color w:val="000000" w:themeColor="text1"/>
          <w:kern w:val="0"/>
          <w:szCs w:val="21"/>
        </w:rPr>
        <w:lastRenderedPageBreak/>
        <w:t>测量</w:t>
      </w:r>
      <w:r w:rsidRPr="006B3CD6">
        <w:rPr>
          <w:rFonts w:asciiTheme="minorEastAsia" w:hAnsiTheme="minorEastAsia" w:cs="Times New Roman" w:hint="eastAsia"/>
          <w:snapToGrid w:val="0"/>
          <w:color w:val="000000" w:themeColor="text1"/>
          <w:kern w:val="0"/>
          <w:szCs w:val="21"/>
        </w:rPr>
        <w:t>（Measurement）打分方式：按工作设置若干个评分组，测量评分准则大致参考以下样表：</w:t>
      </w:r>
    </w:p>
    <w:p w:rsidR="00532E58" w:rsidRPr="006B3CD6" w:rsidRDefault="00532E58" w:rsidP="00532E58">
      <w:pPr>
        <w:adjustRightInd w:val="0"/>
        <w:snapToGrid w:val="0"/>
        <w:jc w:val="center"/>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测量分评分准则样例表</w:t>
      </w:r>
    </w:p>
    <w:tbl>
      <w:tblPr>
        <w:tblW w:w="8510" w:type="dxa"/>
        <w:jc w:val="center"/>
        <w:tblBorders>
          <w:top w:val="single" w:sz="12" w:space="0" w:color="000000"/>
          <w:bottom w:val="single" w:sz="12"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418"/>
        <w:gridCol w:w="3685"/>
        <w:gridCol w:w="1276"/>
        <w:gridCol w:w="992"/>
        <w:gridCol w:w="1139"/>
      </w:tblGrid>
      <w:tr w:rsidR="00532E58" w:rsidRPr="006B3CD6" w:rsidTr="00A925DB">
        <w:trPr>
          <w:trHeight w:hRule="exact" w:val="284"/>
          <w:jc w:val="center"/>
        </w:trPr>
        <w:tc>
          <w:tcPr>
            <w:tcW w:w="1418" w:type="dxa"/>
            <w:tcBorders>
              <w:top w:val="single" w:sz="12" w:space="0" w:color="000000"/>
            </w:tcBorders>
            <w:vAlign w:val="center"/>
          </w:tcPr>
          <w:bookmarkEnd w:id="11"/>
          <w:bookmarkEnd w:id="12"/>
          <w:p w:rsidR="00532E58" w:rsidRPr="006B3CD6" w:rsidRDefault="00532E58" w:rsidP="00A925DB">
            <w:pPr>
              <w:adjustRightInd w:val="0"/>
              <w:snapToGrid w:val="0"/>
              <w:jc w:val="center"/>
              <w:rPr>
                <w:rFonts w:ascii="楷体" w:eastAsia="楷体" w:hAnsi="楷体" w:cs="Times New Roman"/>
                <w:b/>
                <w:snapToGrid w:val="0"/>
                <w:color w:val="000000" w:themeColor="text1"/>
                <w:kern w:val="0"/>
                <w:sz w:val="18"/>
                <w:szCs w:val="18"/>
              </w:rPr>
            </w:pPr>
            <w:r w:rsidRPr="006B3CD6">
              <w:rPr>
                <w:rFonts w:ascii="楷体" w:eastAsia="楷体" w:hAnsi="楷体" w:cs="Times New Roman" w:hint="eastAsia"/>
                <w:b/>
                <w:snapToGrid w:val="0"/>
                <w:color w:val="000000" w:themeColor="text1"/>
                <w:kern w:val="0"/>
                <w:sz w:val="18"/>
                <w:szCs w:val="18"/>
              </w:rPr>
              <w:t>类型</w:t>
            </w:r>
          </w:p>
        </w:tc>
        <w:tc>
          <w:tcPr>
            <w:tcW w:w="3685" w:type="dxa"/>
            <w:tcBorders>
              <w:top w:val="single" w:sz="12" w:space="0" w:color="000000"/>
            </w:tcBorders>
            <w:vAlign w:val="center"/>
          </w:tcPr>
          <w:p w:rsidR="00532E58" w:rsidRPr="006B3CD6" w:rsidRDefault="00532E58" w:rsidP="00A925DB">
            <w:pPr>
              <w:adjustRightInd w:val="0"/>
              <w:snapToGrid w:val="0"/>
              <w:spacing w:line="336" w:lineRule="auto"/>
              <w:jc w:val="center"/>
              <w:rPr>
                <w:rFonts w:ascii="楷体" w:eastAsia="楷体" w:hAnsi="楷体" w:cs="Times New Roman"/>
                <w:b/>
                <w:snapToGrid w:val="0"/>
                <w:color w:val="000000" w:themeColor="text1"/>
                <w:kern w:val="0"/>
                <w:sz w:val="18"/>
                <w:szCs w:val="18"/>
              </w:rPr>
            </w:pPr>
            <w:r w:rsidRPr="006B3CD6">
              <w:rPr>
                <w:rFonts w:ascii="楷体" w:eastAsia="楷体" w:hAnsi="楷体" w:cs="Times New Roman" w:hint="eastAsia"/>
                <w:b/>
                <w:snapToGrid w:val="0"/>
                <w:color w:val="000000" w:themeColor="text1"/>
                <w:kern w:val="0"/>
                <w:sz w:val="18"/>
                <w:szCs w:val="18"/>
              </w:rPr>
              <w:t>示例</w:t>
            </w:r>
          </w:p>
        </w:tc>
        <w:tc>
          <w:tcPr>
            <w:tcW w:w="1276" w:type="dxa"/>
            <w:tcBorders>
              <w:top w:val="single" w:sz="12" w:space="0" w:color="000000"/>
            </w:tcBorders>
            <w:vAlign w:val="center"/>
          </w:tcPr>
          <w:p w:rsidR="00532E58" w:rsidRPr="006B3CD6" w:rsidRDefault="00532E58" w:rsidP="00A925DB">
            <w:pPr>
              <w:adjustRightInd w:val="0"/>
              <w:snapToGrid w:val="0"/>
              <w:spacing w:line="336" w:lineRule="auto"/>
              <w:ind w:firstLine="200"/>
              <w:rPr>
                <w:rFonts w:ascii="楷体" w:eastAsia="楷体" w:hAnsi="楷体" w:cs="Times New Roman"/>
                <w:b/>
                <w:snapToGrid w:val="0"/>
                <w:color w:val="000000" w:themeColor="text1"/>
                <w:kern w:val="0"/>
                <w:sz w:val="18"/>
                <w:szCs w:val="18"/>
              </w:rPr>
            </w:pPr>
            <w:r w:rsidRPr="006B3CD6">
              <w:rPr>
                <w:rFonts w:ascii="楷体" w:eastAsia="楷体" w:hAnsi="楷体" w:cs="Times New Roman" w:hint="eastAsia"/>
                <w:b/>
                <w:snapToGrid w:val="0"/>
                <w:color w:val="000000" w:themeColor="text1"/>
                <w:kern w:val="0"/>
                <w:sz w:val="18"/>
                <w:szCs w:val="18"/>
              </w:rPr>
              <w:t>最高分值</w:t>
            </w:r>
          </w:p>
        </w:tc>
        <w:tc>
          <w:tcPr>
            <w:tcW w:w="992" w:type="dxa"/>
            <w:tcBorders>
              <w:top w:val="single" w:sz="12" w:space="0" w:color="000000"/>
            </w:tcBorders>
            <w:vAlign w:val="center"/>
          </w:tcPr>
          <w:p w:rsidR="00532E58" w:rsidRPr="006B3CD6" w:rsidRDefault="00532E58" w:rsidP="00A925DB">
            <w:pPr>
              <w:adjustRightInd w:val="0"/>
              <w:snapToGrid w:val="0"/>
              <w:spacing w:line="336" w:lineRule="auto"/>
              <w:ind w:firstLine="200"/>
              <w:rPr>
                <w:rFonts w:ascii="楷体" w:eastAsia="楷体" w:hAnsi="楷体" w:cs="Times New Roman"/>
                <w:b/>
                <w:snapToGrid w:val="0"/>
                <w:color w:val="000000" w:themeColor="text1"/>
                <w:kern w:val="0"/>
                <w:sz w:val="18"/>
                <w:szCs w:val="18"/>
              </w:rPr>
            </w:pPr>
            <w:r w:rsidRPr="006B3CD6">
              <w:rPr>
                <w:rFonts w:ascii="楷体" w:eastAsia="楷体" w:hAnsi="楷体" w:cs="Times New Roman" w:hint="eastAsia"/>
                <w:b/>
                <w:snapToGrid w:val="0"/>
                <w:color w:val="000000" w:themeColor="text1"/>
                <w:kern w:val="0"/>
                <w:sz w:val="18"/>
                <w:szCs w:val="18"/>
              </w:rPr>
              <w:t>正确分值</w:t>
            </w:r>
          </w:p>
        </w:tc>
        <w:tc>
          <w:tcPr>
            <w:tcW w:w="1139" w:type="dxa"/>
            <w:tcBorders>
              <w:top w:val="single" w:sz="12" w:space="0" w:color="000000"/>
            </w:tcBorders>
            <w:vAlign w:val="center"/>
          </w:tcPr>
          <w:p w:rsidR="00532E58" w:rsidRPr="006B3CD6" w:rsidRDefault="00532E58" w:rsidP="00A925DB">
            <w:pPr>
              <w:adjustRightInd w:val="0"/>
              <w:snapToGrid w:val="0"/>
              <w:spacing w:line="336" w:lineRule="auto"/>
              <w:ind w:firstLine="200"/>
              <w:rPr>
                <w:rFonts w:ascii="楷体" w:eastAsia="楷体" w:hAnsi="楷体" w:cs="Times New Roman"/>
                <w:b/>
                <w:snapToGrid w:val="0"/>
                <w:color w:val="000000" w:themeColor="text1"/>
                <w:kern w:val="0"/>
                <w:sz w:val="18"/>
                <w:szCs w:val="18"/>
              </w:rPr>
            </w:pPr>
            <w:r w:rsidRPr="006B3CD6">
              <w:rPr>
                <w:rFonts w:ascii="楷体" w:eastAsia="楷体" w:hAnsi="楷体" w:cs="Times New Roman" w:hint="eastAsia"/>
                <w:b/>
                <w:snapToGrid w:val="0"/>
                <w:color w:val="000000" w:themeColor="text1"/>
                <w:kern w:val="0"/>
                <w:sz w:val="18"/>
                <w:szCs w:val="18"/>
              </w:rPr>
              <w:t>不正确分值</w:t>
            </w:r>
          </w:p>
        </w:tc>
      </w:tr>
      <w:tr w:rsidR="00532E58" w:rsidRPr="006B3CD6" w:rsidTr="00A925DB">
        <w:trPr>
          <w:trHeight w:hRule="exact" w:val="284"/>
          <w:jc w:val="center"/>
        </w:trPr>
        <w:tc>
          <w:tcPr>
            <w:tcW w:w="1418"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满分或零分</w:t>
            </w:r>
          </w:p>
        </w:tc>
        <w:tc>
          <w:tcPr>
            <w:tcW w:w="3685" w:type="dxa"/>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集装箱的数量</w:t>
            </w:r>
          </w:p>
        </w:tc>
        <w:tc>
          <w:tcPr>
            <w:tcW w:w="1276" w:type="dxa"/>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1.0</w:t>
            </w:r>
          </w:p>
        </w:tc>
        <w:tc>
          <w:tcPr>
            <w:tcW w:w="992"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1.0</w:t>
            </w:r>
          </w:p>
        </w:tc>
        <w:tc>
          <w:tcPr>
            <w:tcW w:w="1139"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0</w:t>
            </w:r>
          </w:p>
        </w:tc>
      </w:tr>
      <w:tr w:rsidR="00532E58" w:rsidRPr="006B3CD6" w:rsidTr="00A925DB">
        <w:trPr>
          <w:trHeight w:hRule="exact" w:val="284"/>
          <w:jc w:val="center"/>
        </w:trPr>
        <w:tc>
          <w:tcPr>
            <w:tcW w:w="1418"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从满分中扣除规定分数</w:t>
            </w:r>
          </w:p>
        </w:tc>
        <w:tc>
          <w:tcPr>
            <w:tcW w:w="3685"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按规定要求缮制货代单据（每个错误扣除0.1分）</w:t>
            </w:r>
          </w:p>
        </w:tc>
        <w:tc>
          <w:tcPr>
            <w:tcW w:w="1276" w:type="dxa"/>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1.0</w:t>
            </w:r>
          </w:p>
        </w:tc>
        <w:tc>
          <w:tcPr>
            <w:tcW w:w="992"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1.0</w:t>
            </w:r>
          </w:p>
        </w:tc>
        <w:tc>
          <w:tcPr>
            <w:tcW w:w="1139" w:type="dxa"/>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0-0.9</w:t>
            </w:r>
          </w:p>
        </w:tc>
      </w:tr>
      <w:tr w:rsidR="00532E58" w:rsidRPr="006B3CD6" w:rsidTr="00A925DB">
        <w:trPr>
          <w:trHeight w:hRule="exact" w:val="284"/>
          <w:jc w:val="center"/>
        </w:trPr>
        <w:tc>
          <w:tcPr>
            <w:tcW w:w="1418" w:type="dxa"/>
            <w:tcBorders>
              <w:bottom w:val="single" w:sz="12" w:space="0" w:color="000000"/>
            </w:tcBorders>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按渐进标准从零分加起</w:t>
            </w:r>
          </w:p>
        </w:tc>
        <w:tc>
          <w:tcPr>
            <w:tcW w:w="3685" w:type="dxa"/>
            <w:tcBorders>
              <w:bottom w:val="single" w:sz="12" w:space="0" w:color="000000"/>
            </w:tcBorders>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方案与参考答案对比（每对一处加0.1分）</w:t>
            </w:r>
          </w:p>
        </w:tc>
        <w:tc>
          <w:tcPr>
            <w:tcW w:w="1276" w:type="dxa"/>
            <w:tcBorders>
              <w:bottom w:val="single" w:sz="12" w:space="0" w:color="000000"/>
            </w:tcBorders>
            <w:vAlign w:val="center"/>
          </w:tcPr>
          <w:p w:rsidR="00532E58" w:rsidRPr="006B3CD6" w:rsidRDefault="00532E58" w:rsidP="00A925DB">
            <w:pPr>
              <w:adjustRightInd w:val="0"/>
              <w:snapToGrid w:val="0"/>
              <w:ind w:firstLineChars="200" w:firstLine="360"/>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1.0</w:t>
            </w:r>
          </w:p>
        </w:tc>
        <w:tc>
          <w:tcPr>
            <w:tcW w:w="992" w:type="dxa"/>
            <w:tcBorders>
              <w:bottom w:val="single" w:sz="12" w:space="0" w:color="000000"/>
            </w:tcBorders>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1.0</w:t>
            </w:r>
          </w:p>
        </w:tc>
        <w:tc>
          <w:tcPr>
            <w:tcW w:w="1139" w:type="dxa"/>
            <w:tcBorders>
              <w:bottom w:val="single" w:sz="12" w:space="0" w:color="000000"/>
            </w:tcBorders>
            <w:vAlign w:val="center"/>
          </w:tcPr>
          <w:p w:rsidR="00532E58" w:rsidRPr="006B3CD6" w:rsidRDefault="00532E58" w:rsidP="00A925DB">
            <w:pPr>
              <w:adjustRightInd w:val="0"/>
              <w:snapToGrid w:val="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0.0-0.9</w:t>
            </w:r>
          </w:p>
        </w:tc>
      </w:tr>
    </w:tbl>
    <w:p w:rsidR="00532E58" w:rsidRPr="006B3CD6" w:rsidRDefault="00532E58" w:rsidP="00532E58">
      <w:pPr>
        <w:adjustRightInd w:val="0"/>
        <w:snapToGrid w:val="0"/>
        <w:spacing w:beforeLines="50" w:before="156" w:line="336" w:lineRule="auto"/>
        <w:ind w:firstLine="198"/>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（三）分值构成</w:t>
      </w:r>
    </w:p>
    <w:tbl>
      <w:tblPr>
        <w:tblW w:w="0" w:type="auto"/>
        <w:jc w:val="center"/>
        <w:tblBorders>
          <w:top w:val="single" w:sz="18" w:space="0" w:color="auto"/>
          <w:bottom w:val="single" w:sz="18" w:space="0" w:color="auto"/>
          <w:insideH w:val="single" w:sz="4" w:space="0" w:color="auto"/>
          <w:insideV w:val="single" w:sz="4" w:space="0" w:color="auto"/>
        </w:tblBorders>
        <w:tblLook w:val="04A0" w:firstRow="1" w:lastRow="0" w:firstColumn="1" w:lastColumn="0" w:noHBand="0" w:noVBand="1"/>
      </w:tblPr>
      <w:tblGrid>
        <w:gridCol w:w="2376"/>
        <w:gridCol w:w="1701"/>
        <w:gridCol w:w="2977"/>
        <w:gridCol w:w="1418"/>
      </w:tblGrid>
      <w:tr w:rsidR="00532E58" w:rsidRPr="006B3CD6" w:rsidTr="00A925DB">
        <w:trPr>
          <w:trHeight w:hRule="exact" w:val="284"/>
          <w:jc w:val="center"/>
        </w:trPr>
        <w:tc>
          <w:tcPr>
            <w:tcW w:w="2376" w:type="dxa"/>
            <w:vAlign w:val="center"/>
          </w:tcPr>
          <w:p w:rsidR="00532E58" w:rsidRPr="006B3CD6" w:rsidRDefault="00532E58" w:rsidP="00A925DB">
            <w:pPr>
              <w:adjustRightInd w:val="0"/>
              <w:snapToGrid w:val="0"/>
              <w:ind w:firstLineChars="100" w:firstLine="181"/>
              <w:jc w:val="center"/>
              <w:rPr>
                <w:rFonts w:ascii="楷体" w:eastAsia="楷体" w:hAnsi="楷体" w:cs="Times New Roman"/>
                <w:b/>
                <w:snapToGrid w:val="0"/>
                <w:color w:val="000000" w:themeColor="text1"/>
                <w:kern w:val="0"/>
                <w:sz w:val="18"/>
                <w:szCs w:val="18"/>
              </w:rPr>
            </w:pPr>
            <w:r w:rsidRPr="006B3CD6">
              <w:rPr>
                <w:rFonts w:ascii="楷体" w:eastAsia="楷体" w:hAnsi="楷体" w:cs="Times New Roman" w:hint="eastAsia"/>
                <w:b/>
                <w:snapToGrid w:val="0"/>
                <w:color w:val="000000" w:themeColor="text1"/>
                <w:kern w:val="0"/>
                <w:sz w:val="18"/>
                <w:szCs w:val="18"/>
              </w:rPr>
              <w:t>模块</w:t>
            </w:r>
          </w:p>
        </w:tc>
        <w:tc>
          <w:tcPr>
            <w:tcW w:w="1701" w:type="dxa"/>
            <w:vAlign w:val="center"/>
          </w:tcPr>
          <w:p w:rsidR="00532E58" w:rsidRPr="006B3CD6" w:rsidRDefault="00532E58" w:rsidP="00A925DB">
            <w:pPr>
              <w:adjustRightInd w:val="0"/>
              <w:snapToGrid w:val="0"/>
              <w:ind w:firstLineChars="100" w:firstLine="181"/>
              <w:jc w:val="center"/>
              <w:rPr>
                <w:rFonts w:ascii="楷体" w:eastAsia="楷体" w:hAnsi="楷体" w:cs="Times New Roman"/>
                <w:b/>
                <w:snapToGrid w:val="0"/>
                <w:color w:val="000000" w:themeColor="text1"/>
                <w:kern w:val="0"/>
                <w:sz w:val="18"/>
                <w:szCs w:val="18"/>
              </w:rPr>
            </w:pPr>
            <w:r w:rsidRPr="006B3CD6">
              <w:rPr>
                <w:rFonts w:ascii="楷体" w:eastAsia="楷体" w:hAnsi="楷体" w:cs="Times New Roman" w:hint="eastAsia"/>
                <w:b/>
                <w:snapToGrid w:val="0"/>
                <w:color w:val="000000" w:themeColor="text1"/>
                <w:kern w:val="0"/>
                <w:sz w:val="18"/>
                <w:szCs w:val="18"/>
              </w:rPr>
              <w:t>项目</w:t>
            </w:r>
          </w:p>
        </w:tc>
        <w:tc>
          <w:tcPr>
            <w:tcW w:w="2977" w:type="dxa"/>
            <w:vAlign w:val="center"/>
          </w:tcPr>
          <w:p w:rsidR="00532E58" w:rsidRPr="006B3CD6" w:rsidRDefault="00532E58" w:rsidP="00A925DB">
            <w:pPr>
              <w:adjustRightInd w:val="0"/>
              <w:snapToGrid w:val="0"/>
              <w:ind w:firstLineChars="100" w:firstLine="181"/>
              <w:jc w:val="center"/>
              <w:rPr>
                <w:rFonts w:ascii="楷体" w:eastAsia="楷体" w:hAnsi="楷体" w:cs="Times New Roman"/>
                <w:b/>
                <w:snapToGrid w:val="0"/>
                <w:color w:val="000000" w:themeColor="text1"/>
                <w:kern w:val="0"/>
                <w:sz w:val="18"/>
                <w:szCs w:val="18"/>
              </w:rPr>
            </w:pPr>
            <w:r w:rsidRPr="006B3CD6">
              <w:rPr>
                <w:rFonts w:ascii="楷体" w:eastAsia="楷体" w:hAnsi="楷体" w:cs="Times New Roman" w:hint="eastAsia"/>
                <w:b/>
                <w:snapToGrid w:val="0"/>
                <w:color w:val="000000" w:themeColor="text1"/>
                <w:kern w:val="0"/>
                <w:sz w:val="18"/>
                <w:szCs w:val="18"/>
              </w:rPr>
              <w:t>任务</w:t>
            </w:r>
          </w:p>
        </w:tc>
        <w:tc>
          <w:tcPr>
            <w:tcW w:w="1418" w:type="dxa"/>
          </w:tcPr>
          <w:p w:rsidR="00532E58" w:rsidRPr="006B3CD6" w:rsidRDefault="00532E58" w:rsidP="00A925DB">
            <w:pPr>
              <w:adjustRightInd w:val="0"/>
              <w:snapToGrid w:val="0"/>
              <w:ind w:firstLineChars="100" w:firstLine="181"/>
              <w:jc w:val="center"/>
              <w:rPr>
                <w:rFonts w:ascii="楷体" w:eastAsia="楷体" w:hAnsi="楷体" w:cs="Times New Roman"/>
                <w:b/>
                <w:snapToGrid w:val="0"/>
                <w:color w:val="000000" w:themeColor="text1"/>
                <w:kern w:val="0"/>
                <w:sz w:val="18"/>
                <w:szCs w:val="18"/>
              </w:rPr>
            </w:pPr>
            <w:r w:rsidRPr="006B3CD6">
              <w:rPr>
                <w:rFonts w:ascii="楷体" w:eastAsia="楷体" w:hAnsi="楷体" w:cs="Times New Roman" w:hint="eastAsia"/>
                <w:b/>
                <w:snapToGrid w:val="0"/>
                <w:color w:val="000000" w:themeColor="text1"/>
                <w:kern w:val="0"/>
                <w:sz w:val="18"/>
                <w:szCs w:val="18"/>
              </w:rPr>
              <w:t>分值</w:t>
            </w:r>
          </w:p>
        </w:tc>
      </w:tr>
      <w:tr w:rsidR="00532E58" w:rsidRPr="006B3CD6" w:rsidTr="00A925DB">
        <w:trPr>
          <w:trHeight w:hRule="exact" w:val="284"/>
          <w:jc w:val="center"/>
        </w:trPr>
        <w:tc>
          <w:tcPr>
            <w:tcW w:w="2376" w:type="dxa"/>
            <w:vMerge w:val="restart"/>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海运</w:t>
            </w:r>
          </w:p>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（70分）</w:t>
            </w:r>
          </w:p>
        </w:tc>
        <w:tc>
          <w:tcPr>
            <w:tcW w:w="1701" w:type="dxa"/>
            <w:vMerge w:val="restart"/>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客户获取</w:t>
            </w:r>
          </w:p>
        </w:tc>
        <w:tc>
          <w:tcPr>
            <w:tcW w:w="2977" w:type="dxa"/>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客户咨询</w:t>
            </w:r>
          </w:p>
        </w:tc>
        <w:tc>
          <w:tcPr>
            <w:tcW w:w="1418" w:type="dxa"/>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5</w:t>
            </w:r>
          </w:p>
        </w:tc>
      </w:tr>
      <w:tr w:rsidR="00532E58" w:rsidRPr="006B3CD6" w:rsidTr="00A925DB">
        <w:trPr>
          <w:trHeight w:hRule="exact" w:val="284"/>
          <w:jc w:val="center"/>
        </w:trPr>
        <w:tc>
          <w:tcPr>
            <w:tcW w:w="2376" w:type="dxa"/>
            <w:vMerge/>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p>
        </w:tc>
        <w:tc>
          <w:tcPr>
            <w:tcW w:w="1701" w:type="dxa"/>
            <w:vMerge/>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p>
        </w:tc>
        <w:tc>
          <w:tcPr>
            <w:tcW w:w="2977" w:type="dxa"/>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客户会面</w:t>
            </w:r>
          </w:p>
        </w:tc>
        <w:tc>
          <w:tcPr>
            <w:tcW w:w="1418" w:type="dxa"/>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10</w:t>
            </w:r>
          </w:p>
        </w:tc>
      </w:tr>
      <w:tr w:rsidR="00532E58" w:rsidRPr="006B3CD6" w:rsidTr="00A925DB">
        <w:trPr>
          <w:trHeight w:hRule="exact" w:val="284"/>
          <w:jc w:val="center"/>
        </w:trPr>
        <w:tc>
          <w:tcPr>
            <w:tcW w:w="2376" w:type="dxa"/>
            <w:vMerge/>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p>
        </w:tc>
        <w:tc>
          <w:tcPr>
            <w:tcW w:w="1701" w:type="dxa"/>
            <w:vMerge w:val="restart"/>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海运报价</w:t>
            </w:r>
          </w:p>
        </w:tc>
        <w:tc>
          <w:tcPr>
            <w:tcW w:w="2977" w:type="dxa"/>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选择集装箱</w:t>
            </w:r>
          </w:p>
        </w:tc>
        <w:tc>
          <w:tcPr>
            <w:tcW w:w="1418" w:type="dxa"/>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5</w:t>
            </w:r>
          </w:p>
        </w:tc>
      </w:tr>
      <w:tr w:rsidR="00532E58" w:rsidRPr="006B3CD6" w:rsidTr="00A925DB">
        <w:trPr>
          <w:trHeight w:hRule="exact" w:val="284"/>
          <w:jc w:val="center"/>
        </w:trPr>
        <w:tc>
          <w:tcPr>
            <w:tcW w:w="2376" w:type="dxa"/>
            <w:vMerge/>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p>
        </w:tc>
        <w:tc>
          <w:tcPr>
            <w:tcW w:w="1701" w:type="dxa"/>
            <w:vMerge/>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p>
        </w:tc>
        <w:tc>
          <w:tcPr>
            <w:tcW w:w="2977" w:type="dxa"/>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费用计算</w:t>
            </w:r>
          </w:p>
        </w:tc>
        <w:tc>
          <w:tcPr>
            <w:tcW w:w="1418" w:type="dxa"/>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10</w:t>
            </w:r>
          </w:p>
        </w:tc>
      </w:tr>
      <w:tr w:rsidR="00532E58" w:rsidRPr="006B3CD6" w:rsidTr="00A925DB">
        <w:trPr>
          <w:trHeight w:hRule="exact" w:val="284"/>
          <w:jc w:val="center"/>
        </w:trPr>
        <w:tc>
          <w:tcPr>
            <w:tcW w:w="2376" w:type="dxa"/>
            <w:vMerge/>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p>
        </w:tc>
        <w:tc>
          <w:tcPr>
            <w:tcW w:w="1701" w:type="dxa"/>
            <w:vMerge/>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p>
        </w:tc>
        <w:tc>
          <w:tcPr>
            <w:tcW w:w="2977" w:type="dxa"/>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海运报价</w:t>
            </w:r>
          </w:p>
        </w:tc>
        <w:tc>
          <w:tcPr>
            <w:tcW w:w="1418" w:type="dxa"/>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10</w:t>
            </w:r>
          </w:p>
        </w:tc>
      </w:tr>
      <w:tr w:rsidR="00532E58" w:rsidRPr="006B3CD6" w:rsidTr="00A925DB">
        <w:trPr>
          <w:trHeight w:hRule="exact" w:val="284"/>
          <w:jc w:val="center"/>
        </w:trPr>
        <w:tc>
          <w:tcPr>
            <w:tcW w:w="2376" w:type="dxa"/>
            <w:vMerge/>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p>
        </w:tc>
        <w:tc>
          <w:tcPr>
            <w:tcW w:w="1701" w:type="dxa"/>
            <w:vMerge w:val="restart"/>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海运操作</w:t>
            </w:r>
          </w:p>
        </w:tc>
        <w:tc>
          <w:tcPr>
            <w:tcW w:w="2977" w:type="dxa"/>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集港作业</w:t>
            </w:r>
          </w:p>
        </w:tc>
        <w:tc>
          <w:tcPr>
            <w:tcW w:w="1418" w:type="dxa"/>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10</w:t>
            </w:r>
          </w:p>
        </w:tc>
      </w:tr>
      <w:tr w:rsidR="00532E58" w:rsidRPr="006B3CD6" w:rsidTr="00A925DB">
        <w:trPr>
          <w:trHeight w:hRule="exact" w:val="284"/>
          <w:jc w:val="center"/>
        </w:trPr>
        <w:tc>
          <w:tcPr>
            <w:tcW w:w="2376" w:type="dxa"/>
            <w:vMerge/>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p>
        </w:tc>
        <w:tc>
          <w:tcPr>
            <w:tcW w:w="1701" w:type="dxa"/>
            <w:vMerge/>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p>
        </w:tc>
        <w:tc>
          <w:tcPr>
            <w:tcW w:w="2977" w:type="dxa"/>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缮制单证</w:t>
            </w:r>
          </w:p>
        </w:tc>
        <w:tc>
          <w:tcPr>
            <w:tcW w:w="1418" w:type="dxa"/>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10</w:t>
            </w:r>
          </w:p>
        </w:tc>
      </w:tr>
      <w:tr w:rsidR="00532E58" w:rsidRPr="006B3CD6" w:rsidTr="00A925DB">
        <w:trPr>
          <w:trHeight w:hRule="exact" w:val="284"/>
          <w:jc w:val="center"/>
        </w:trPr>
        <w:tc>
          <w:tcPr>
            <w:tcW w:w="2376" w:type="dxa"/>
            <w:vMerge/>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p>
        </w:tc>
        <w:tc>
          <w:tcPr>
            <w:tcW w:w="1701" w:type="dxa"/>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异常情况处理</w:t>
            </w:r>
          </w:p>
        </w:tc>
        <w:tc>
          <w:tcPr>
            <w:tcW w:w="2977" w:type="dxa"/>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海运投诉或索赔</w:t>
            </w:r>
          </w:p>
        </w:tc>
        <w:tc>
          <w:tcPr>
            <w:tcW w:w="1418" w:type="dxa"/>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10</w:t>
            </w:r>
          </w:p>
        </w:tc>
      </w:tr>
      <w:tr w:rsidR="00532E58" w:rsidRPr="006B3CD6" w:rsidTr="00A925DB">
        <w:trPr>
          <w:trHeight w:hRule="exact" w:val="284"/>
          <w:jc w:val="center"/>
        </w:trPr>
        <w:tc>
          <w:tcPr>
            <w:tcW w:w="2376" w:type="dxa"/>
            <w:vMerge w:val="restart"/>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空运</w:t>
            </w:r>
          </w:p>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（30分）</w:t>
            </w:r>
          </w:p>
        </w:tc>
        <w:tc>
          <w:tcPr>
            <w:tcW w:w="1701" w:type="dxa"/>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空运报价</w:t>
            </w:r>
          </w:p>
        </w:tc>
        <w:tc>
          <w:tcPr>
            <w:tcW w:w="2977" w:type="dxa"/>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空运报价</w:t>
            </w:r>
          </w:p>
        </w:tc>
        <w:tc>
          <w:tcPr>
            <w:tcW w:w="1418" w:type="dxa"/>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10</w:t>
            </w:r>
          </w:p>
        </w:tc>
      </w:tr>
      <w:tr w:rsidR="00532E58" w:rsidRPr="006B3CD6" w:rsidTr="00A925DB">
        <w:trPr>
          <w:trHeight w:hRule="exact" w:val="284"/>
          <w:jc w:val="center"/>
        </w:trPr>
        <w:tc>
          <w:tcPr>
            <w:tcW w:w="2376" w:type="dxa"/>
            <w:vMerge/>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p>
        </w:tc>
        <w:tc>
          <w:tcPr>
            <w:tcW w:w="1701" w:type="dxa"/>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空运操作</w:t>
            </w:r>
          </w:p>
        </w:tc>
        <w:tc>
          <w:tcPr>
            <w:tcW w:w="2977" w:type="dxa"/>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缮制单证</w:t>
            </w:r>
          </w:p>
        </w:tc>
        <w:tc>
          <w:tcPr>
            <w:tcW w:w="1418" w:type="dxa"/>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10</w:t>
            </w:r>
          </w:p>
        </w:tc>
      </w:tr>
      <w:tr w:rsidR="00532E58" w:rsidRPr="006B3CD6" w:rsidTr="00A925DB">
        <w:trPr>
          <w:trHeight w:hRule="exact" w:val="284"/>
          <w:jc w:val="center"/>
        </w:trPr>
        <w:tc>
          <w:tcPr>
            <w:tcW w:w="2376" w:type="dxa"/>
            <w:vMerge/>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p>
        </w:tc>
        <w:tc>
          <w:tcPr>
            <w:tcW w:w="1701" w:type="dxa"/>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异常处理</w:t>
            </w:r>
          </w:p>
        </w:tc>
        <w:tc>
          <w:tcPr>
            <w:tcW w:w="2977" w:type="dxa"/>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空运投诉或索赔</w:t>
            </w:r>
          </w:p>
        </w:tc>
        <w:tc>
          <w:tcPr>
            <w:tcW w:w="1418" w:type="dxa"/>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10</w:t>
            </w:r>
          </w:p>
        </w:tc>
      </w:tr>
      <w:tr w:rsidR="00532E58" w:rsidRPr="006B3CD6" w:rsidTr="00A925DB">
        <w:trPr>
          <w:trHeight w:hRule="exact" w:val="284"/>
          <w:jc w:val="center"/>
        </w:trPr>
        <w:tc>
          <w:tcPr>
            <w:tcW w:w="8472" w:type="dxa"/>
            <w:gridSpan w:val="4"/>
            <w:vAlign w:val="center"/>
          </w:tcPr>
          <w:p w:rsidR="00532E58" w:rsidRPr="006B3CD6" w:rsidRDefault="00532E58" w:rsidP="00A925DB">
            <w:pPr>
              <w:adjustRightInd w:val="0"/>
              <w:snapToGrid w:val="0"/>
              <w:ind w:firstLineChars="100" w:firstLine="180"/>
              <w:jc w:val="center"/>
              <w:rPr>
                <w:rFonts w:ascii="楷体" w:eastAsia="楷体" w:hAnsi="楷体" w:cs="Times New Roman"/>
                <w:snapToGrid w:val="0"/>
                <w:color w:val="000000" w:themeColor="text1"/>
                <w:kern w:val="0"/>
                <w:sz w:val="18"/>
                <w:szCs w:val="18"/>
              </w:rPr>
            </w:pPr>
            <w:r w:rsidRPr="006B3CD6">
              <w:rPr>
                <w:rFonts w:ascii="楷体" w:eastAsia="楷体" w:hAnsi="楷体" w:cs="Times New Roman" w:hint="eastAsia"/>
                <w:snapToGrid w:val="0"/>
                <w:color w:val="000000" w:themeColor="text1"/>
                <w:kern w:val="0"/>
                <w:sz w:val="18"/>
                <w:szCs w:val="18"/>
              </w:rPr>
              <w:t>总分                                           100</w:t>
            </w:r>
          </w:p>
        </w:tc>
      </w:tr>
    </w:tbl>
    <w:p w:rsidR="00532E58" w:rsidRPr="006B3CD6" w:rsidRDefault="00532E58" w:rsidP="00532E58">
      <w:pPr>
        <w:adjustRightInd w:val="0"/>
        <w:snapToGrid w:val="0"/>
        <w:spacing w:beforeLines="50" w:before="156"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八、奖项设定</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赛项设个人一、二、三等奖。以实际参赛队总数为基数，一、二、三等奖获奖比例分别为10%、20%、30%（小数点后四舍五入）。</w:t>
      </w:r>
    </w:p>
    <w:p w:rsidR="00532E58" w:rsidRPr="006B3CD6" w:rsidRDefault="00532E58" w:rsidP="00532E5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九、赛场预案</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（一）竞赛开赛前，承办院校提前调试好设施设备、计算机、系统软硬件，保证与考核应具备的条件一致，将故障率降到最低点。参赛选手确认竞赛工位、现场设备等处于正常状态。</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二）竞赛过程中，参赛选手如遇设备或软件等故障应举手示意，项目裁判长、技术人员等应及时予以解决。确因非选手因素致使操作无法继续的，经项目裁判长确认，予以启用备用设备，因此所造成的时间延误，经报请裁判长批准予以延长比赛时间处理。</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（三）竞赛过程中，参赛选手如遇身体不适可求助现场医务人员予以救治，因此所造成的时间延误，不予延时。</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（四）竞赛过程中，如遇突发不可抗力事件，全体人员应立即停止竞赛，撤离至安全场所。由赛项执委会报请大赛执委会再做后续处理。</w:t>
      </w:r>
    </w:p>
    <w:p w:rsidR="00532E58" w:rsidRPr="006B3CD6" w:rsidRDefault="00532E58" w:rsidP="00532E5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十、赛项安全</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赛事安全是技能竞赛一切工作顺利开展的先决条件，是赛事筹备和运行必须考虑的核心问题。赛项执委会采取切实有效措施保证大赛期间参赛选手、指导教师、工作人员及观众的人身安全。</w:t>
      </w:r>
    </w:p>
    <w:p w:rsidR="00532E58" w:rsidRPr="006B3CD6" w:rsidRDefault="00532E58" w:rsidP="00532E5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（一）比赛环境</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1.赛项执委会须在赛前组织专人对比赛现场、住宿场所和交通保障、防疫条件进行考察，并对安全工作提出明确要求。赛场的布置，赛场内的器材、设备，应符合国家有关安全规定。如有必要，也可进行赛场仿真模拟测试，以发现可能出现的问题。承办单位赛前须按照执委会要求排</w:t>
      </w:r>
      <w:r w:rsidRPr="006B3CD6">
        <w:rPr>
          <w:rFonts w:asciiTheme="minorEastAsia" w:hAnsiTheme="minorEastAsia" w:cs="Times New Roman" w:hint="eastAsia"/>
          <w:snapToGrid w:val="0"/>
          <w:color w:val="000000" w:themeColor="text1"/>
          <w:kern w:val="0"/>
          <w:szCs w:val="21"/>
        </w:rPr>
        <w:lastRenderedPageBreak/>
        <w:t>除安全隐患。</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2.赛场周围要设立警戒线，防止无关人员进入发生意外事件。比赛现场内应参照相关职业岗位的要求为选手提供必要的劳动保护。</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3.赛项执委会须会同承办单位制定开放赛场和体验区的人员疏导方案。赛场环境中存在人员密集的区域，除了设置齐全的指示标志外，须增加引导人员，并开辟备用通道。</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4.参赛选手进入赛位，赛事裁判及工作人员进入竞赛场所，严禁携带通讯、照相摄录设备，禁止携带记录用具。如确有需要，由赛场统一配置、统一管理。赛项可根据需要配置安检设备对进入赛场重要部位的人员进行安检。</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5.大赛期间，承办单位须在赛场管理的关键岗位，增加力量，建立安全管理日志。</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6.大赛期间，所有比赛相关人员均须遵守赛项承办单位所在地疫情防控的相关规定。</w:t>
      </w:r>
    </w:p>
    <w:p w:rsidR="00532E58" w:rsidRPr="006B3CD6" w:rsidRDefault="00532E58" w:rsidP="00532E5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（二）应急处理</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比赛期间发生意外事故，发现者应第一时间报告赛项执委会，同时采取措施避免事态扩大。赛项执委会应立即启动预案予以解决并上报大赛执委会。赛项出现重大安全问题可以停赛，是否停赛由赛项执委会决定。事后，赛项执委会应向大赛执委会报告详细情况。</w:t>
      </w:r>
    </w:p>
    <w:p w:rsidR="00532E58" w:rsidRPr="006B3CD6" w:rsidRDefault="00532E58" w:rsidP="00532E5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（三）处罚措施</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1.因参赛队伍原因造成重大安全事故的，取消其获奖资格。</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2.参赛队伍有发生重大安全事故隐患，经赛场工作人员提示、警告无效的，可取消其继续比赛的资格。</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3.赛事工作人员违规的，按照相应的制度追究责任。情节恶劣并造成重大安全事故的，由司法机关追究相应法律责任。</w:t>
      </w:r>
    </w:p>
    <w:p w:rsidR="00532E58" w:rsidRPr="006B3CD6" w:rsidRDefault="00532E58" w:rsidP="00532E5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十一、竞赛须知</w:t>
      </w:r>
    </w:p>
    <w:p w:rsidR="00532E58" w:rsidRPr="006B3CD6" w:rsidRDefault="00532E58" w:rsidP="00532E58">
      <w:pPr>
        <w:adjustRightInd w:val="0"/>
        <w:snapToGrid w:val="0"/>
        <w:spacing w:line="336" w:lineRule="auto"/>
        <w:ind w:firstLineChars="200" w:firstLine="422"/>
        <w:rPr>
          <w:rFonts w:asciiTheme="minorEastAsia" w:hAnsiTheme="minorEastAsia" w:cs="Times New Roman"/>
          <w:b/>
          <w:bCs/>
          <w:snapToGrid w:val="0"/>
          <w:color w:val="000000" w:themeColor="text1"/>
          <w:kern w:val="0"/>
          <w:szCs w:val="21"/>
        </w:rPr>
      </w:pPr>
      <w:r w:rsidRPr="006B3CD6">
        <w:rPr>
          <w:rFonts w:asciiTheme="minorEastAsia" w:hAnsiTheme="minorEastAsia" w:cs="Times New Roman" w:hint="eastAsia"/>
          <w:b/>
          <w:bCs/>
          <w:snapToGrid w:val="0"/>
          <w:color w:val="000000" w:themeColor="text1"/>
          <w:kern w:val="0"/>
          <w:szCs w:val="21"/>
        </w:rPr>
        <w:t>（一）参赛队须知</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1.参赛队名称统一使用规定的代表队名称。</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2.参赛队按照大赛赛程安排，凭颁发的参赛证及标识和有效身份证件参加比赛及相关活动。</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3.参赛队员需要购买保险。</w:t>
      </w:r>
    </w:p>
    <w:p w:rsidR="00532E58" w:rsidRPr="006B3CD6" w:rsidRDefault="00532E58" w:rsidP="00532E58">
      <w:pPr>
        <w:adjustRightInd w:val="0"/>
        <w:snapToGrid w:val="0"/>
        <w:spacing w:line="336" w:lineRule="auto"/>
        <w:ind w:firstLineChars="200" w:firstLine="422"/>
        <w:rPr>
          <w:rFonts w:asciiTheme="minorEastAsia" w:hAnsiTheme="minorEastAsia" w:cs="Times New Roman"/>
          <w:b/>
          <w:bCs/>
          <w:snapToGrid w:val="0"/>
          <w:color w:val="000000" w:themeColor="text1"/>
          <w:kern w:val="0"/>
          <w:szCs w:val="21"/>
        </w:rPr>
      </w:pPr>
      <w:r w:rsidRPr="006B3CD6">
        <w:rPr>
          <w:rFonts w:asciiTheme="minorEastAsia" w:hAnsiTheme="minorEastAsia" w:cs="Times New Roman" w:hint="eastAsia"/>
          <w:b/>
          <w:bCs/>
          <w:snapToGrid w:val="0"/>
          <w:color w:val="000000" w:themeColor="text1"/>
          <w:kern w:val="0"/>
          <w:szCs w:val="21"/>
        </w:rPr>
        <w:t>（二）指导教师须知</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1.各参赛代表队要发扬良好道德风尚，听从指挥，服从裁判，不弄虚作假。如发现弄虚作假者，取消参赛资格，名次无效。</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2.各代表队领队要坚决执行竞赛的各项规定，加强对参赛人员的管理，做好赛前准备工作，督促选手带好证件等竞赛相关材料。</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3.竞赛过程中，除参加当场次竞赛的选手、执行裁判员、现场工作人员和经批准的人员外，领队、指导教师及其他人员一律不得进入竞赛场地。</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4.参赛代表队若对竞赛过程有异议，在规定的时间内由领队向赛项仲裁工作组提出书面报告。</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5.对申诉的仲裁结果，领队要带头服从和执行，并做好选手工作。参赛选手不得因申诉或对处理意见不服而停止竞赛，否则以弃权处理。</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6.指导老师应及时查看全国职业院校技能大赛官网有关赛项的通知和内容，认真研究和掌握</w:t>
      </w:r>
      <w:r w:rsidRPr="006B3CD6">
        <w:rPr>
          <w:rFonts w:asciiTheme="minorEastAsia" w:hAnsiTheme="minorEastAsia" w:cs="Times New Roman" w:hint="eastAsia"/>
          <w:snapToGrid w:val="0"/>
          <w:color w:val="000000" w:themeColor="text1"/>
          <w:kern w:val="0"/>
          <w:szCs w:val="21"/>
        </w:rPr>
        <w:lastRenderedPageBreak/>
        <w:t>本赛项竞赛的规程、技术规范和赛场要求，指导选手做好赛前的一切技术准备和竞赛准备。</w:t>
      </w:r>
    </w:p>
    <w:p w:rsidR="00532E58" w:rsidRPr="006B3CD6" w:rsidRDefault="00532E58" w:rsidP="00532E58">
      <w:pPr>
        <w:adjustRightInd w:val="0"/>
        <w:snapToGrid w:val="0"/>
        <w:spacing w:line="336" w:lineRule="auto"/>
        <w:ind w:firstLineChars="200" w:firstLine="422"/>
        <w:rPr>
          <w:rFonts w:asciiTheme="minorEastAsia" w:hAnsiTheme="minorEastAsia" w:cs="Times New Roman"/>
          <w:b/>
          <w:bCs/>
          <w:snapToGrid w:val="0"/>
          <w:color w:val="000000" w:themeColor="text1"/>
          <w:kern w:val="0"/>
          <w:szCs w:val="21"/>
        </w:rPr>
      </w:pPr>
      <w:r w:rsidRPr="006B3CD6">
        <w:rPr>
          <w:rFonts w:asciiTheme="minorEastAsia" w:hAnsiTheme="minorEastAsia" w:cs="Times New Roman" w:hint="eastAsia"/>
          <w:b/>
          <w:bCs/>
          <w:snapToGrid w:val="0"/>
          <w:color w:val="000000" w:themeColor="text1"/>
          <w:kern w:val="0"/>
          <w:szCs w:val="21"/>
        </w:rPr>
        <w:t>（三）参赛选手须知</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1.参赛选手应按有关要求如实填报个人信息，否则取消竞赛资格。</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2.参赛选手凭统一印制的参赛证和有效身份证件参加竞赛。</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3.参赛选手应认真学习领会本次竞赛相关文件，自觉遵守大赛纪律，服从指挥，听从安排，文明参赛。</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4.参赛选手请勿携带与竞赛无关的电子设备、通讯设备及其他资料与用品。</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5.</w:t>
      </w:r>
      <w:r>
        <w:rPr>
          <w:rFonts w:asciiTheme="minorEastAsia" w:hAnsiTheme="minorEastAsia" w:cs="Times New Roman" w:hint="eastAsia"/>
          <w:snapToGrid w:val="0"/>
          <w:color w:val="000000" w:themeColor="text1"/>
          <w:kern w:val="0"/>
          <w:szCs w:val="21"/>
        </w:rPr>
        <w:t>参赛选手</w:t>
      </w:r>
      <w:r w:rsidRPr="006B3CD6">
        <w:rPr>
          <w:rFonts w:asciiTheme="minorEastAsia" w:hAnsiTheme="minorEastAsia" w:cs="Times New Roman" w:hint="eastAsia"/>
          <w:snapToGrid w:val="0"/>
          <w:color w:val="000000" w:themeColor="text1"/>
          <w:kern w:val="0"/>
          <w:szCs w:val="21"/>
        </w:rPr>
        <w:t>按照规定时间抵达赛场，凭参赛证、身份证件检录，按要求入场，不得迟到早退。</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6.参赛选手应按抽签结果在指定位置就座。</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7.参赛选手须在确认竞赛内容和现场设备等无误后开始竞赛。在竞赛过程中，如有疑问，参赛选手可举手示意，项目裁判长应按照有关要求及时予以答疑。如遇设备或软件等故障，参赛选手应举手示意，项目裁判长、技术人员等应及时予以解决。确因计算机软件或硬件故障，致使操作无法继续的，经项目裁判长确认，予以启用备用计算机。</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8.各参赛选手必须按规范要求操作竞赛设备。一旦出现较严重的安全事故，经裁判长批准后将立即取消其参赛资格。</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9.比赛期间，如遇身体不适，参赛选手可求助现场医务人员予以救治。</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10.竞赛时间终了，选手应全体起立，结束操作。</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11.在竞赛期间，参赛选手不得接受其他单位和个人进行的与竞赛内容相关的采访。参赛选手不得将竞赛的相关信息私自公布。</w:t>
      </w:r>
    </w:p>
    <w:p w:rsidR="00532E58" w:rsidRPr="006B3CD6" w:rsidRDefault="00532E58" w:rsidP="00532E58">
      <w:pPr>
        <w:adjustRightInd w:val="0"/>
        <w:snapToGrid w:val="0"/>
        <w:spacing w:line="336" w:lineRule="auto"/>
        <w:ind w:firstLineChars="200" w:firstLine="422"/>
        <w:rPr>
          <w:rFonts w:asciiTheme="minorEastAsia" w:hAnsiTheme="minorEastAsia" w:cs="Times New Roman"/>
          <w:b/>
          <w:bCs/>
          <w:snapToGrid w:val="0"/>
          <w:color w:val="000000" w:themeColor="text1"/>
          <w:kern w:val="0"/>
          <w:szCs w:val="21"/>
        </w:rPr>
      </w:pPr>
      <w:r w:rsidRPr="006B3CD6">
        <w:rPr>
          <w:rFonts w:asciiTheme="minorEastAsia" w:hAnsiTheme="minorEastAsia" w:cs="Times New Roman" w:hint="eastAsia"/>
          <w:b/>
          <w:bCs/>
          <w:snapToGrid w:val="0"/>
          <w:color w:val="000000" w:themeColor="text1"/>
          <w:kern w:val="0"/>
          <w:szCs w:val="21"/>
        </w:rPr>
        <w:t>（四）工作人员须知</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1.工作人员必须统一佩戴由大赛组委会签发的相应证件，着装整齐。</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2.工作人员不得影响参赛选手比赛，不允许有影响比赛公平的行为。</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3.服从领导，听从指挥，以高度负责的精神、严肃认真的态度做好各项工作。</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4.熟悉比赛规程，认真遵守各项比赛规则和工作要求。</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5．坚守岗位，如有急事需要离开岗位时，应经领导同意，并做好工作衔接。</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6.严格遵守比赛纪律，如发现其他人员有违反比赛纪律的行为，应予以制止。情节严重的，应向竞赛执委会反映。</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7.发扬无私奉献和团结协作的精神，提供热情、优质服务。</w:t>
      </w:r>
    </w:p>
    <w:p w:rsidR="00532E58" w:rsidRPr="006B3CD6" w:rsidRDefault="00532E58" w:rsidP="00532E5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十二、申诉与仲裁</w:t>
      </w:r>
    </w:p>
    <w:p w:rsidR="00532E58" w:rsidRPr="006B3CD6" w:rsidRDefault="00532E58" w:rsidP="00532E5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本赛项在比赛过程中若出现有失公正或违规现象，代表队领队可在比赛成绩公示后2小时之内向赛项仲裁组提出书面申诉。大赛采取两级仲裁机制，赛项设仲裁工作组，赛区设仲裁委员会。赛项仲裁组在接到申诉后的2小时内会组织审议，并及时反馈裁定结果。申诉方对复议结果如仍有异议，可由领队向赛区仲裁委员会提出书面申诉。赛区仲裁委员会的仲裁结果为最终结果。</w:t>
      </w:r>
    </w:p>
    <w:p w:rsidR="001F223F" w:rsidRDefault="001F223F"/>
    <w:sectPr w:rsidR="001F223F" w:rsidSect="00532E58">
      <w:footerReference w:type="default" r:id="rId6"/>
      <w:pgSz w:w="11906" w:h="16838"/>
      <w:pgMar w:top="1440" w:right="1531" w:bottom="1440"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1D06" w:rsidRDefault="00801D06" w:rsidP="00E607CC">
      <w:r>
        <w:separator/>
      </w:r>
    </w:p>
  </w:endnote>
  <w:endnote w:type="continuationSeparator" w:id="0">
    <w:p w:rsidR="00801D06" w:rsidRDefault="00801D06" w:rsidP="00E607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9889753"/>
      <w:docPartObj>
        <w:docPartGallery w:val="Page Numbers (Bottom of Page)"/>
        <w:docPartUnique/>
      </w:docPartObj>
    </w:sdtPr>
    <w:sdtContent>
      <w:p w:rsidR="00E607CC" w:rsidRDefault="00E607CC">
        <w:pPr>
          <w:pStyle w:val="a4"/>
          <w:jc w:val="center"/>
        </w:pPr>
        <w:r>
          <w:fldChar w:fldCharType="begin"/>
        </w:r>
        <w:r>
          <w:instrText>PAGE   \* MERGEFORMAT</w:instrText>
        </w:r>
        <w:r>
          <w:fldChar w:fldCharType="separate"/>
        </w:r>
        <w:r w:rsidRPr="00E607CC">
          <w:rPr>
            <w:noProof/>
            <w:lang w:val="zh-CN"/>
          </w:rPr>
          <w:t>1</w:t>
        </w:r>
        <w:r>
          <w:fldChar w:fldCharType="end"/>
        </w:r>
      </w:p>
    </w:sdtContent>
  </w:sdt>
  <w:p w:rsidR="00E607CC" w:rsidRDefault="00E607C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1D06" w:rsidRDefault="00801D06" w:rsidP="00E607CC">
      <w:r>
        <w:separator/>
      </w:r>
    </w:p>
  </w:footnote>
  <w:footnote w:type="continuationSeparator" w:id="0">
    <w:p w:rsidR="00801D06" w:rsidRDefault="00801D06" w:rsidP="00E607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8"/>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34B"/>
    <w:rsid w:val="001F223F"/>
    <w:rsid w:val="00532E58"/>
    <w:rsid w:val="00801D06"/>
    <w:rsid w:val="00B4234B"/>
    <w:rsid w:val="00E607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215A39-41DE-4CD6-9D32-9097B794C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2E5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607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E607CC"/>
    <w:rPr>
      <w:sz w:val="18"/>
      <w:szCs w:val="18"/>
    </w:rPr>
  </w:style>
  <w:style w:type="paragraph" w:styleId="a4">
    <w:name w:val="footer"/>
    <w:basedOn w:val="a"/>
    <w:link w:val="Char0"/>
    <w:uiPriority w:val="99"/>
    <w:unhideWhenUsed/>
    <w:rsid w:val="00E607CC"/>
    <w:pPr>
      <w:tabs>
        <w:tab w:val="center" w:pos="4153"/>
        <w:tab w:val="right" w:pos="8306"/>
      </w:tabs>
      <w:snapToGrid w:val="0"/>
      <w:jc w:val="left"/>
    </w:pPr>
    <w:rPr>
      <w:sz w:val="18"/>
      <w:szCs w:val="18"/>
    </w:rPr>
  </w:style>
  <w:style w:type="character" w:customStyle="1" w:styleId="Char0">
    <w:name w:val="页脚 Char"/>
    <w:basedOn w:val="a0"/>
    <w:link w:val="a4"/>
    <w:uiPriority w:val="99"/>
    <w:rsid w:val="00E607C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996</Words>
  <Characters>5683</Characters>
  <Application>Microsoft Office Word</Application>
  <DocSecurity>0</DocSecurity>
  <Lines>47</Lines>
  <Paragraphs>13</Paragraphs>
  <ScaleCrop>false</ScaleCrop>
  <Company/>
  <LinksUpToDate>false</LinksUpToDate>
  <CharactersWithSpaces>6666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2021-04-12T12:47:00Z</dcterms:created>
  <dcterms:modified xsi:type="dcterms:W3CDTF">2021-04-12T12:49:00Z</dcterms:modified>
</cp:coreProperties>
</file>