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420" w:firstLineChars="200"/>
        <w:jc w:val="both"/>
        <w:rPr>
          <w:rFonts w:cs="Times New Roman" w:asciiTheme="minorEastAsia" w:hAnsiTheme="minorEastAsia" w:eastAsiaTheme="minorEastAsia"/>
          <w:sz w:val="21"/>
          <w:szCs w:val="21"/>
        </w:rPr>
      </w:pPr>
    </w:p>
    <w:p>
      <w:pPr>
        <w:pStyle w:val="3"/>
        <w:spacing w:line="360" w:lineRule="auto"/>
        <w:ind w:firstLine="420" w:firstLineChars="200"/>
        <w:jc w:val="center"/>
        <w:rPr>
          <w:rFonts w:cs="Times New Roman" w:asciiTheme="minorEastAsia" w:hAnsiTheme="minorEastAsia" w:eastAsiaTheme="minorEastAsia"/>
          <w:sz w:val="21"/>
          <w:szCs w:val="21"/>
        </w:rPr>
      </w:pPr>
    </w:p>
    <w:p>
      <w:pPr>
        <w:pStyle w:val="3"/>
        <w:spacing w:line="360" w:lineRule="auto"/>
        <w:ind w:firstLine="420" w:firstLineChars="200"/>
        <w:jc w:val="center"/>
        <w:rPr>
          <w:rFonts w:cs="Times New Roman" w:asciiTheme="minorEastAsia" w:hAnsiTheme="minorEastAsia" w:eastAsiaTheme="minorEastAsia"/>
          <w:sz w:val="21"/>
          <w:szCs w:val="21"/>
        </w:rPr>
      </w:pPr>
    </w:p>
    <w:p>
      <w:pPr>
        <w:pStyle w:val="3"/>
        <w:spacing w:line="360" w:lineRule="auto"/>
        <w:ind w:firstLine="420" w:firstLineChars="200"/>
        <w:jc w:val="center"/>
        <w:rPr>
          <w:rFonts w:cs="Times New Roman" w:asciiTheme="minorEastAsia" w:hAnsiTheme="minorEastAsia" w:eastAsiaTheme="minorEastAsia"/>
          <w:sz w:val="21"/>
          <w:szCs w:val="21"/>
        </w:rPr>
      </w:pPr>
    </w:p>
    <w:p>
      <w:pPr>
        <w:pStyle w:val="3"/>
        <w:spacing w:line="360" w:lineRule="auto"/>
        <w:ind w:firstLine="420" w:firstLineChars="200"/>
        <w:jc w:val="center"/>
        <w:rPr>
          <w:rFonts w:cs="Times New Roman" w:asciiTheme="minorEastAsia" w:hAnsiTheme="minorEastAsia" w:eastAsiaTheme="minorEastAsia"/>
          <w:sz w:val="21"/>
          <w:szCs w:val="21"/>
        </w:rPr>
      </w:pPr>
    </w:p>
    <w:p>
      <w:pPr>
        <w:spacing w:line="360" w:lineRule="auto"/>
        <w:jc w:val="center"/>
        <w:rPr>
          <w:rFonts w:cs="Times New Roman" w:asciiTheme="minorEastAsia" w:hAnsiTheme="minorEastAsia" w:eastAsiaTheme="minorEastAsia"/>
          <w:b/>
          <w:bCs/>
          <w:sz w:val="32"/>
          <w:szCs w:val="32"/>
          <w:lang w:val="en-US"/>
        </w:rPr>
      </w:pPr>
      <w:r>
        <w:rPr>
          <w:rFonts w:cs="Times New Roman" w:asciiTheme="minorEastAsia" w:hAnsiTheme="minorEastAsia" w:eastAsiaTheme="minorEastAsia"/>
          <w:b/>
          <w:bCs/>
          <w:sz w:val="32"/>
          <w:szCs w:val="32"/>
        </w:rPr>
        <w:t>2021年甘肃省职业院校</w:t>
      </w:r>
      <w:r>
        <w:rPr>
          <w:rFonts w:hint="eastAsia" w:cs="Times New Roman" w:asciiTheme="minorEastAsia" w:hAnsiTheme="minorEastAsia" w:eastAsiaTheme="minorEastAsia"/>
          <w:b/>
          <w:bCs/>
          <w:sz w:val="32"/>
          <w:szCs w:val="32"/>
          <w:lang w:val="en-US"/>
        </w:rPr>
        <w:t>技能大赛</w:t>
      </w:r>
    </w:p>
    <w:p>
      <w:pPr>
        <w:spacing w:line="360" w:lineRule="auto"/>
        <w:jc w:val="center"/>
        <w:rPr>
          <w:rFonts w:cs="Times New Roman" w:asciiTheme="minorEastAsia" w:hAnsiTheme="minorEastAsia" w:eastAsiaTheme="minorEastAsia"/>
          <w:b/>
          <w:bCs/>
          <w:sz w:val="32"/>
          <w:szCs w:val="32"/>
        </w:rPr>
      </w:pPr>
      <w:r>
        <w:rPr>
          <w:rFonts w:hint="eastAsia" w:cs="Times New Roman" w:asciiTheme="minorEastAsia" w:hAnsiTheme="minorEastAsia" w:eastAsiaTheme="minorEastAsia"/>
          <w:b/>
          <w:bCs/>
          <w:sz w:val="32"/>
          <w:szCs w:val="32"/>
        </w:rPr>
        <w:t>《</w:t>
      </w:r>
      <w:r>
        <w:rPr>
          <w:rFonts w:cs="Times New Roman" w:asciiTheme="minorEastAsia" w:hAnsiTheme="minorEastAsia" w:eastAsiaTheme="minorEastAsia"/>
          <w:b/>
          <w:bCs/>
          <w:sz w:val="32"/>
          <w:szCs w:val="32"/>
        </w:rPr>
        <w:t>商务大数据分析与应用</w:t>
      </w:r>
      <w:r>
        <w:rPr>
          <w:rFonts w:hint="eastAsia" w:cs="Times New Roman" w:asciiTheme="minorEastAsia" w:hAnsiTheme="minorEastAsia" w:eastAsiaTheme="minorEastAsia"/>
          <w:b/>
          <w:bCs/>
          <w:sz w:val="32"/>
          <w:szCs w:val="32"/>
        </w:rPr>
        <w:t>》赛项</w:t>
      </w:r>
    </w:p>
    <w:p>
      <w:pPr>
        <w:spacing w:line="360" w:lineRule="auto"/>
        <w:jc w:val="center"/>
        <w:rPr>
          <w:rFonts w:cs="Times New Roman" w:asciiTheme="minorEastAsia" w:hAnsiTheme="minorEastAsia" w:eastAsiaTheme="minorEastAsia"/>
          <w:b/>
          <w:bCs/>
          <w:sz w:val="32"/>
          <w:szCs w:val="32"/>
        </w:rPr>
      </w:pPr>
      <w:r>
        <w:rPr>
          <w:rFonts w:hint="eastAsia" w:cs="Times New Roman" w:asciiTheme="minorEastAsia" w:hAnsiTheme="minorEastAsia" w:eastAsiaTheme="minorEastAsia"/>
          <w:b/>
          <w:bCs/>
          <w:sz w:val="32"/>
          <w:szCs w:val="32"/>
        </w:rPr>
        <w:t>（高职学生组）</w:t>
      </w:r>
    </w:p>
    <w:p>
      <w:pPr>
        <w:spacing w:line="360" w:lineRule="auto"/>
        <w:jc w:val="center"/>
        <w:rPr>
          <w:rFonts w:cs="Times New Roman" w:asciiTheme="minorEastAsia" w:hAnsiTheme="minorEastAsia" w:eastAsiaTheme="minorEastAsia"/>
          <w:sz w:val="32"/>
          <w:szCs w:val="32"/>
        </w:rPr>
      </w:pPr>
    </w:p>
    <w:p>
      <w:pPr>
        <w:spacing w:line="360" w:lineRule="auto"/>
        <w:jc w:val="center"/>
        <w:rPr>
          <w:rFonts w:cs="Times New Roman" w:asciiTheme="minorEastAsia" w:hAnsiTheme="minorEastAsia" w:eastAsiaTheme="minorEastAsia"/>
          <w:sz w:val="32"/>
          <w:szCs w:val="32"/>
        </w:rPr>
      </w:pPr>
      <w:r>
        <w:rPr>
          <w:rFonts w:cs="Times New Roman" w:asciiTheme="minorEastAsia" w:hAnsiTheme="minorEastAsia" w:eastAsiaTheme="minorEastAsia"/>
          <w:sz w:val="32"/>
          <w:szCs w:val="32"/>
        </w:rPr>
        <w:t>竞赛规程</w:t>
      </w:r>
    </w:p>
    <w:p>
      <w:pPr>
        <w:pStyle w:val="3"/>
        <w:spacing w:line="360" w:lineRule="auto"/>
        <w:jc w:val="center"/>
        <w:rPr>
          <w:rFonts w:hint="eastAsia" w:cs="Times New Roman" w:asciiTheme="minorEastAsia" w:hAnsiTheme="minorEastAsia" w:eastAsiaTheme="minorEastAsia"/>
          <w:sz w:val="32"/>
          <w:szCs w:val="32"/>
        </w:rPr>
      </w:pPr>
    </w:p>
    <w:p>
      <w:pPr>
        <w:pStyle w:val="3"/>
        <w:spacing w:line="360" w:lineRule="auto"/>
        <w:jc w:val="center"/>
        <w:rPr>
          <w:rFonts w:hint="eastAsia" w:cs="Times New Roman" w:asciiTheme="minorEastAsia" w:hAnsiTheme="minorEastAsia" w:eastAsiaTheme="minorEastAsia"/>
          <w:sz w:val="32"/>
          <w:szCs w:val="32"/>
        </w:rPr>
      </w:pPr>
    </w:p>
    <w:p>
      <w:pPr>
        <w:pStyle w:val="3"/>
        <w:spacing w:line="360" w:lineRule="auto"/>
        <w:jc w:val="center"/>
        <w:rPr>
          <w:rFonts w:hint="eastAsia" w:cs="Times New Roman" w:asciiTheme="minorEastAsia" w:hAnsiTheme="minorEastAsia" w:eastAsiaTheme="minorEastAsia"/>
          <w:sz w:val="32"/>
          <w:szCs w:val="32"/>
        </w:rPr>
      </w:pPr>
    </w:p>
    <w:p>
      <w:pPr>
        <w:pStyle w:val="3"/>
        <w:spacing w:line="360" w:lineRule="auto"/>
        <w:jc w:val="center"/>
        <w:rPr>
          <w:rFonts w:cs="Times New Roman" w:asciiTheme="minorEastAsia" w:hAnsiTheme="minorEastAsia" w:eastAsiaTheme="minorEastAsia"/>
          <w:sz w:val="32"/>
          <w:szCs w:val="32"/>
        </w:rPr>
      </w:pPr>
    </w:p>
    <w:p>
      <w:pPr>
        <w:pStyle w:val="3"/>
        <w:spacing w:line="360" w:lineRule="auto"/>
        <w:jc w:val="center"/>
        <w:rPr>
          <w:rFonts w:cs="Times New Roman" w:asciiTheme="minorEastAsia" w:hAnsiTheme="minorEastAsia" w:eastAsiaTheme="minorEastAsia"/>
          <w:sz w:val="32"/>
          <w:szCs w:val="32"/>
        </w:rPr>
      </w:pPr>
    </w:p>
    <w:p>
      <w:pPr>
        <w:pStyle w:val="3"/>
        <w:spacing w:line="360" w:lineRule="auto"/>
        <w:jc w:val="center"/>
        <w:rPr>
          <w:rFonts w:cs="Times New Roman" w:asciiTheme="minorEastAsia" w:hAnsiTheme="minorEastAsia" w:eastAsiaTheme="minorEastAsia"/>
          <w:sz w:val="32"/>
          <w:szCs w:val="32"/>
        </w:rPr>
      </w:pPr>
    </w:p>
    <w:p>
      <w:pPr>
        <w:spacing w:line="360" w:lineRule="auto"/>
        <w:jc w:val="center"/>
        <w:rPr>
          <w:rFonts w:cs="Times New Roman" w:asciiTheme="minorEastAsia" w:hAnsiTheme="minorEastAsia" w:eastAsiaTheme="minorEastAsia"/>
          <w:sz w:val="32"/>
          <w:szCs w:val="32"/>
        </w:rPr>
        <w:sectPr>
          <w:type w:val="continuous"/>
          <w:pgSz w:w="11910" w:h="16840"/>
          <w:pgMar w:top="1701" w:right="1417" w:bottom="1701" w:left="1417" w:header="720" w:footer="720" w:gutter="0"/>
          <w:cols w:equalWidth="0" w:num="1">
            <w:col w:w="9310"/>
          </w:cols>
        </w:sectPr>
      </w:pPr>
      <w:r>
        <w:rPr>
          <w:rFonts w:cs="Times New Roman" w:asciiTheme="minorEastAsia" w:hAnsiTheme="minorEastAsia" w:eastAsiaTheme="minorEastAsia"/>
          <w:sz w:val="32"/>
          <w:szCs w:val="32"/>
        </w:rPr>
        <w:t xml:space="preserve">2021 年 </w:t>
      </w:r>
      <w:r>
        <w:rPr>
          <w:rFonts w:cs="Times New Roman" w:asciiTheme="minorEastAsia" w:hAnsiTheme="minorEastAsia" w:eastAsiaTheme="minorEastAsia"/>
          <w:sz w:val="32"/>
          <w:szCs w:val="32"/>
          <w:lang w:val="en-US"/>
        </w:rPr>
        <w:t>3</w:t>
      </w:r>
      <w:r>
        <w:rPr>
          <w:rFonts w:hint="eastAsia" w:cs="Times New Roman" w:asciiTheme="minorEastAsia" w:hAnsiTheme="minorEastAsia" w:eastAsiaTheme="minorEastAsia"/>
          <w:sz w:val="32"/>
          <w:szCs w:val="32"/>
          <w:lang w:val="en-US" w:eastAsia="zh-CN"/>
        </w:rPr>
        <w:t xml:space="preserve"> </w:t>
      </w:r>
      <w:r>
        <w:rPr>
          <w:rFonts w:cs="Times New Roman" w:asciiTheme="minorEastAsia" w:hAnsiTheme="minorEastAsia" w:eastAsiaTheme="minorEastAsia"/>
          <w:sz w:val="32"/>
          <w:szCs w:val="32"/>
        </w:rPr>
        <w:t>月</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bookmarkStart w:id="0" w:name="一、赛项名称"/>
      <w:bookmarkEnd w:id="0"/>
      <w:r>
        <w:rPr>
          <w:rFonts w:cs="Times New Roman" w:asciiTheme="minorEastAsia" w:hAnsiTheme="minorEastAsia" w:eastAsiaTheme="minorEastAsia"/>
          <w:b/>
          <w:bCs/>
          <w:sz w:val="21"/>
          <w:szCs w:val="21"/>
        </w:rPr>
        <w:t>一、赛项名称</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赛项名称：</w:t>
      </w:r>
      <w:r>
        <w:rPr>
          <w:rFonts w:cs="Times New Roman" w:asciiTheme="minorEastAsia" w:hAnsiTheme="minorEastAsia" w:eastAsiaTheme="minorEastAsia"/>
          <w:sz w:val="21"/>
          <w:szCs w:val="21"/>
        </w:rPr>
        <w:t>商务大数据分析与应用</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专业大类：财经商贸类</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赛项组别：高职学生组</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bookmarkStart w:id="1" w:name="二、赛项目的"/>
      <w:bookmarkEnd w:id="1"/>
      <w:r>
        <w:rPr>
          <w:rFonts w:cs="Times New Roman" w:asciiTheme="minorEastAsia" w:hAnsiTheme="minorEastAsia" w:eastAsiaTheme="minorEastAsia"/>
          <w:b/>
          <w:bCs/>
          <w:sz w:val="21"/>
          <w:szCs w:val="21"/>
        </w:rPr>
        <w:t>二、赛项目的</w:t>
      </w:r>
    </w:p>
    <w:p>
      <w:pPr>
        <w:pStyle w:val="3"/>
        <w:pageBreakBefore w:val="0"/>
        <w:widowControl w:val="0"/>
        <w:kinsoku/>
        <w:wordWrap/>
        <w:overflowPunct/>
        <w:topLinePunct w:val="0"/>
        <w:bidi w:val="0"/>
        <w:adjustRightInd/>
        <w:snapToGrid/>
        <w:spacing w:line="360" w:lineRule="auto"/>
        <w:ind w:firstLine="384" w:firstLineChars="200"/>
        <w:jc w:val="both"/>
        <w:textAlignment w:val="auto"/>
        <w:rPr>
          <w:rFonts w:cs="Times New Roman" w:asciiTheme="minorEastAsia" w:hAnsiTheme="minorEastAsia" w:eastAsiaTheme="minorEastAsia"/>
          <w:spacing w:val="-17"/>
          <w:sz w:val="21"/>
          <w:szCs w:val="21"/>
        </w:rPr>
      </w:pPr>
      <w:r>
        <w:rPr>
          <w:rFonts w:hint="eastAsia" w:cs="Times New Roman" w:asciiTheme="minorEastAsia" w:hAnsiTheme="minorEastAsia" w:eastAsiaTheme="minorEastAsia"/>
          <w:spacing w:val="-9"/>
          <w:sz w:val="21"/>
          <w:szCs w:val="21"/>
        </w:rPr>
        <w:t>本赛项</w:t>
      </w:r>
      <w:r>
        <w:rPr>
          <w:rFonts w:cs="Times New Roman" w:asciiTheme="minorEastAsia" w:hAnsiTheme="minorEastAsia" w:eastAsiaTheme="minorEastAsia"/>
          <w:spacing w:val="-9"/>
          <w:sz w:val="21"/>
          <w:szCs w:val="21"/>
        </w:rPr>
        <w:t>围绕大数据在财经商贸领域的</w:t>
      </w:r>
      <w:r>
        <w:rPr>
          <w:rFonts w:hint="eastAsia" w:cs="Times New Roman" w:asciiTheme="minorEastAsia" w:hAnsiTheme="minorEastAsia" w:eastAsiaTheme="minorEastAsia"/>
          <w:spacing w:val="-9"/>
          <w:sz w:val="21"/>
          <w:szCs w:val="21"/>
        </w:rPr>
        <w:t>应用实践，展现大数据技术对</w:t>
      </w:r>
      <w:r>
        <w:rPr>
          <w:rFonts w:cs="Times New Roman" w:asciiTheme="minorEastAsia" w:hAnsiTheme="minorEastAsia" w:eastAsiaTheme="minorEastAsia"/>
          <w:spacing w:val="-9"/>
          <w:sz w:val="21"/>
          <w:szCs w:val="21"/>
        </w:rPr>
        <w:t>提升</w:t>
      </w:r>
      <w:r>
        <w:rPr>
          <w:rFonts w:cs="Times New Roman" w:asciiTheme="minorEastAsia" w:hAnsiTheme="minorEastAsia" w:eastAsiaTheme="minorEastAsia"/>
          <w:spacing w:val="-12"/>
          <w:sz w:val="21"/>
          <w:szCs w:val="21"/>
        </w:rPr>
        <w:t>决策效率、强化数据资产管理能力、实现精准营销服务、增强风</w:t>
      </w:r>
      <w:r>
        <w:rPr>
          <w:rFonts w:cs="Times New Roman" w:asciiTheme="minorEastAsia" w:hAnsiTheme="minorEastAsia" w:eastAsiaTheme="minorEastAsia"/>
          <w:spacing w:val="6"/>
          <w:sz w:val="21"/>
          <w:szCs w:val="21"/>
        </w:rPr>
        <w:t>控管理能力等方面的</w:t>
      </w:r>
      <w:r>
        <w:rPr>
          <w:rFonts w:hint="eastAsia" w:cs="Times New Roman" w:asciiTheme="minorEastAsia" w:hAnsiTheme="minorEastAsia" w:eastAsiaTheme="minorEastAsia"/>
          <w:spacing w:val="6"/>
          <w:sz w:val="21"/>
          <w:szCs w:val="21"/>
        </w:rPr>
        <w:t>重要意义。</w:t>
      </w:r>
      <w:r>
        <w:rPr>
          <w:rFonts w:hint="eastAsia" w:cs="Times New Roman" w:asciiTheme="minorEastAsia" w:hAnsiTheme="minorEastAsia" w:eastAsiaTheme="minorEastAsia"/>
          <w:spacing w:val="-9"/>
          <w:sz w:val="21"/>
          <w:szCs w:val="21"/>
        </w:rPr>
        <w:t>通过案例引导的方式</w:t>
      </w:r>
      <w:r>
        <w:rPr>
          <w:rFonts w:cs="Times New Roman" w:asciiTheme="minorEastAsia" w:hAnsiTheme="minorEastAsia" w:eastAsiaTheme="minorEastAsia"/>
          <w:spacing w:val="6"/>
          <w:sz w:val="21"/>
          <w:szCs w:val="21"/>
        </w:rPr>
        <w:t>，将企业真实的大数据应用场景和流</w:t>
      </w:r>
      <w:r>
        <w:rPr>
          <w:rFonts w:cs="Times New Roman" w:asciiTheme="minorEastAsia" w:hAnsiTheme="minorEastAsia" w:eastAsiaTheme="minorEastAsia"/>
          <w:spacing w:val="-17"/>
          <w:sz w:val="21"/>
          <w:szCs w:val="21"/>
        </w:rPr>
        <w:t>程，与财经商贸专业教学内容进行整合，</w:t>
      </w:r>
      <w:r>
        <w:rPr>
          <w:rFonts w:hint="eastAsia" w:cs="Times New Roman" w:asciiTheme="minorEastAsia" w:hAnsiTheme="minorEastAsia" w:eastAsiaTheme="minorEastAsia"/>
          <w:spacing w:val="-9"/>
          <w:sz w:val="21"/>
          <w:szCs w:val="21"/>
        </w:rPr>
        <w:t>训练学生熟悉数据整理和数据分析业务流程，掌握大数据技术基本原理和实践技能。</w:t>
      </w:r>
      <w:r>
        <w:rPr>
          <w:rFonts w:cs="Times New Roman" w:asciiTheme="minorEastAsia" w:hAnsiTheme="minorEastAsia" w:eastAsiaTheme="minorEastAsia"/>
          <w:spacing w:val="-17"/>
          <w:sz w:val="21"/>
          <w:szCs w:val="21"/>
        </w:rPr>
        <w:t>将数据采集、数据整理、</w:t>
      </w:r>
      <w:r>
        <w:rPr>
          <w:rFonts w:cs="Times New Roman" w:asciiTheme="minorEastAsia" w:hAnsiTheme="minorEastAsia" w:eastAsiaTheme="minorEastAsia"/>
          <w:spacing w:val="-10"/>
          <w:sz w:val="21"/>
          <w:szCs w:val="21"/>
        </w:rPr>
        <w:t>数据分析、数据可视化呈现、决策报告等大数据技术融入学校专</w:t>
      </w:r>
      <w:r>
        <w:rPr>
          <w:rFonts w:cs="Times New Roman" w:asciiTheme="minorEastAsia" w:hAnsiTheme="minorEastAsia" w:eastAsiaTheme="minorEastAsia"/>
          <w:spacing w:val="-13"/>
          <w:sz w:val="21"/>
          <w:szCs w:val="21"/>
        </w:rPr>
        <w:t>业实</w:t>
      </w:r>
      <w:r>
        <w:rPr>
          <w:rFonts w:cs="Times New Roman" w:asciiTheme="minorEastAsia" w:hAnsiTheme="minorEastAsia" w:eastAsiaTheme="minorEastAsia"/>
          <w:spacing w:val="-17"/>
          <w:sz w:val="21"/>
          <w:szCs w:val="21"/>
        </w:rPr>
        <w:t>践教学。该赛项旨在通过比赛实现学生专业能力与职业能力的无缝连接，拓展甘肃高校学生就业渠道和路径，提升就业核心竞争力。</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bookmarkStart w:id="2" w:name="三、赛项组织"/>
      <w:bookmarkEnd w:id="2"/>
      <w:r>
        <w:rPr>
          <w:rFonts w:cs="Times New Roman" w:asciiTheme="minorEastAsia" w:hAnsiTheme="minorEastAsia" w:eastAsiaTheme="minorEastAsia"/>
          <w:b/>
          <w:bCs/>
          <w:sz w:val="21"/>
          <w:szCs w:val="21"/>
        </w:rPr>
        <w:t>三、赛项内容</w:t>
      </w:r>
    </w:p>
    <w:p>
      <w:pPr>
        <w:pStyle w:val="3"/>
        <w:pageBreakBefore w:val="0"/>
        <w:widowControl w:val="0"/>
        <w:kinsoku/>
        <w:wordWrap/>
        <w:overflowPunct/>
        <w:topLinePunct w:val="0"/>
        <w:bidi w:val="0"/>
        <w:adjustRightInd/>
        <w:snapToGrid/>
        <w:spacing w:line="360" w:lineRule="auto"/>
        <w:ind w:firstLine="396" w:firstLineChars="200"/>
        <w:jc w:val="both"/>
        <w:textAlignment w:val="auto"/>
        <w:rPr>
          <w:rFonts w:cs="Times New Roman" w:asciiTheme="minorEastAsia" w:hAnsiTheme="minorEastAsia" w:eastAsiaTheme="minorEastAsia"/>
          <w:sz w:val="21"/>
          <w:szCs w:val="21"/>
          <w:lang w:val="en-US"/>
        </w:rPr>
      </w:pPr>
      <w:r>
        <w:rPr>
          <w:rFonts w:cs="Times New Roman" w:asciiTheme="minorEastAsia" w:hAnsiTheme="minorEastAsia" w:eastAsiaTheme="minorEastAsia"/>
          <w:spacing w:val="-6"/>
          <w:sz w:val="21"/>
          <w:szCs w:val="21"/>
        </w:rPr>
        <w:t>商务大数据分析与应用赛项为团体赛，</w:t>
      </w:r>
      <w:r>
        <w:rPr>
          <w:rFonts w:hint="eastAsia" w:cs="Times New Roman" w:asciiTheme="minorEastAsia" w:hAnsiTheme="minorEastAsia" w:eastAsiaTheme="minorEastAsia"/>
          <w:spacing w:val="-6"/>
          <w:sz w:val="21"/>
          <w:szCs w:val="21"/>
        </w:rPr>
        <w:t>采取线下竞赛，上机操作的方式。参赛团队按照</w:t>
      </w:r>
      <w:r>
        <w:rPr>
          <w:rFonts w:cs="Times New Roman" w:asciiTheme="minorEastAsia" w:hAnsiTheme="minorEastAsia" w:eastAsiaTheme="minorEastAsia"/>
          <w:sz w:val="21"/>
          <w:szCs w:val="21"/>
        </w:rPr>
        <w:t>财务数据分析</w:t>
      </w:r>
      <w:r>
        <w:rPr>
          <w:rFonts w:cs="Times New Roman" w:asciiTheme="minorEastAsia" w:hAnsiTheme="minorEastAsia" w:eastAsiaTheme="minorEastAsia"/>
          <w:spacing w:val="-10"/>
          <w:sz w:val="21"/>
          <w:szCs w:val="21"/>
        </w:rPr>
        <w:t>、运营</w:t>
      </w:r>
      <w:r>
        <w:rPr>
          <w:rFonts w:cs="Times New Roman" w:asciiTheme="minorEastAsia" w:hAnsiTheme="minorEastAsia" w:eastAsiaTheme="minorEastAsia"/>
          <w:sz w:val="21"/>
          <w:szCs w:val="21"/>
        </w:rPr>
        <w:t>数据</w:t>
      </w:r>
      <w:r>
        <w:rPr>
          <w:rFonts w:cs="Times New Roman" w:asciiTheme="minorEastAsia" w:hAnsiTheme="minorEastAsia" w:eastAsiaTheme="minorEastAsia"/>
          <w:spacing w:val="-10"/>
          <w:sz w:val="21"/>
          <w:szCs w:val="21"/>
        </w:rPr>
        <w:t>分析、客户</w:t>
      </w:r>
      <w:r>
        <w:rPr>
          <w:rFonts w:hint="eastAsia" w:cs="Times New Roman" w:asciiTheme="minorEastAsia" w:hAnsiTheme="minorEastAsia" w:eastAsiaTheme="minorEastAsia"/>
          <w:spacing w:val="-10"/>
          <w:sz w:val="21"/>
          <w:szCs w:val="21"/>
        </w:rPr>
        <w:t>数据</w:t>
      </w:r>
      <w:r>
        <w:rPr>
          <w:rFonts w:cs="Times New Roman" w:asciiTheme="minorEastAsia" w:hAnsiTheme="minorEastAsia" w:eastAsiaTheme="minorEastAsia"/>
          <w:spacing w:val="-10"/>
          <w:sz w:val="21"/>
          <w:szCs w:val="21"/>
        </w:rPr>
        <w:t>分析、行业</w:t>
      </w:r>
      <w:r>
        <w:rPr>
          <w:rFonts w:hint="eastAsia" w:cs="Times New Roman" w:asciiTheme="minorEastAsia" w:hAnsiTheme="minorEastAsia" w:eastAsiaTheme="minorEastAsia"/>
          <w:spacing w:val="-10"/>
          <w:sz w:val="21"/>
          <w:szCs w:val="21"/>
        </w:rPr>
        <w:t>数据</w:t>
      </w:r>
      <w:r>
        <w:rPr>
          <w:rFonts w:cs="Times New Roman" w:asciiTheme="minorEastAsia" w:hAnsiTheme="minorEastAsia" w:eastAsiaTheme="minorEastAsia"/>
          <w:spacing w:val="-10"/>
          <w:sz w:val="21"/>
          <w:szCs w:val="21"/>
        </w:rPr>
        <w:t>分析</w:t>
      </w:r>
      <w:r>
        <w:rPr>
          <w:rFonts w:cs="Times New Roman" w:asciiTheme="minorEastAsia" w:hAnsiTheme="minorEastAsia" w:eastAsiaTheme="minorEastAsia"/>
          <w:spacing w:val="-18"/>
          <w:sz w:val="21"/>
          <w:szCs w:val="21"/>
        </w:rPr>
        <w:t>四</w:t>
      </w:r>
      <w:r>
        <w:rPr>
          <w:rFonts w:hint="eastAsia" w:cs="Times New Roman" w:asciiTheme="minorEastAsia" w:hAnsiTheme="minorEastAsia" w:eastAsiaTheme="minorEastAsia"/>
          <w:spacing w:val="-18"/>
          <w:sz w:val="21"/>
          <w:szCs w:val="21"/>
        </w:rPr>
        <w:t>类任务</w:t>
      </w:r>
      <w:r>
        <w:rPr>
          <w:rFonts w:cs="Times New Roman" w:asciiTheme="minorEastAsia" w:hAnsiTheme="minorEastAsia" w:eastAsiaTheme="minorEastAsia"/>
          <w:spacing w:val="-18"/>
          <w:sz w:val="21"/>
          <w:szCs w:val="21"/>
        </w:rPr>
        <w:t>，</w:t>
      </w:r>
      <w:r>
        <w:rPr>
          <w:rFonts w:hint="eastAsia" w:cs="Times New Roman" w:asciiTheme="minorEastAsia" w:hAnsiTheme="minorEastAsia" w:eastAsiaTheme="minorEastAsia"/>
          <w:spacing w:val="-18"/>
          <w:sz w:val="21"/>
          <w:szCs w:val="21"/>
        </w:rPr>
        <w:t>分</w:t>
      </w:r>
      <w:r>
        <w:rPr>
          <w:rFonts w:hint="eastAsia" w:cs="Times New Roman" w:asciiTheme="minorEastAsia" w:hAnsiTheme="minorEastAsia" w:eastAsiaTheme="minorEastAsia"/>
          <w:spacing w:val="-18"/>
          <w:sz w:val="21"/>
          <w:szCs w:val="21"/>
          <w:lang w:val="en-US"/>
        </w:rPr>
        <w:t>4个</w:t>
      </w:r>
      <w:r>
        <w:rPr>
          <w:rFonts w:hint="eastAsia" w:cs="Times New Roman" w:asciiTheme="minorEastAsia" w:hAnsiTheme="minorEastAsia" w:eastAsiaTheme="minorEastAsia"/>
          <w:spacing w:val="-18"/>
          <w:sz w:val="21"/>
          <w:szCs w:val="21"/>
        </w:rPr>
        <w:t>岗位</w:t>
      </w:r>
      <w:r>
        <w:rPr>
          <w:rFonts w:cs="Times New Roman" w:asciiTheme="minorEastAsia" w:hAnsiTheme="minorEastAsia" w:eastAsiaTheme="minorEastAsia"/>
          <w:spacing w:val="-18"/>
          <w:sz w:val="21"/>
          <w:szCs w:val="21"/>
        </w:rPr>
        <w:t>共同完成数据整理、数据分析两个模块的竞赛内容。</w:t>
      </w:r>
      <w:r>
        <w:rPr>
          <w:rFonts w:hint="eastAsia" w:cs="Times New Roman" w:asciiTheme="minorEastAsia" w:hAnsiTheme="minorEastAsia" w:eastAsiaTheme="minorEastAsia"/>
          <w:spacing w:val="-18"/>
          <w:sz w:val="21"/>
          <w:szCs w:val="21"/>
        </w:rPr>
        <w:t>每个参赛岗位总分</w:t>
      </w:r>
      <w:r>
        <w:rPr>
          <w:rFonts w:hint="eastAsia" w:cs="Times New Roman" w:asciiTheme="minorEastAsia" w:hAnsiTheme="minorEastAsia" w:eastAsiaTheme="minorEastAsia"/>
          <w:spacing w:val="-18"/>
          <w:sz w:val="21"/>
          <w:szCs w:val="21"/>
          <w:lang w:val="en-US"/>
        </w:rPr>
        <w:t>100分，4个岗位得分合计为团队总成绩，总分400分。</w:t>
      </w:r>
    </w:p>
    <w:p>
      <w:pPr>
        <w:pStyle w:val="3"/>
        <w:pageBreakBefore w:val="0"/>
        <w:widowControl w:val="0"/>
        <w:kinsoku/>
        <w:wordWrap/>
        <w:overflowPunct/>
        <w:topLinePunct w:val="0"/>
        <w:bidi w:val="0"/>
        <w:adjustRightInd/>
        <w:snapToGrid/>
        <w:spacing w:line="360" w:lineRule="auto"/>
        <w:ind w:firstLine="388"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pacing w:val="-8"/>
          <w:sz w:val="21"/>
          <w:szCs w:val="21"/>
        </w:rPr>
        <w:t>第一模块主要包括数据采集、数据整理、数据处理</w:t>
      </w:r>
      <w:r>
        <w:rPr>
          <w:rFonts w:cs="Times New Roman" w:asciiTheme="minorEastAsia" w:hAnsiTheme="minorEastAsia" w:eastAsiaTheme="minorEastAsia"/>
          <w:sz w:val="21"/>
          <w:szCs w:val="21"/>
        </w:rPr>
        <w:t>（DMP 数据管理平台</w:t>
      </w:r>
      <w:r>
        <w:rPr>
          <w:rFonts w:cs="Times New Roman" w:asciiTheme="minorEastAsia" w:hAnsiTheme="minorEastAsia" w:eastAsiaTheme="minorEastAsia"/>
          <w:spacing w:val="-25"/>
          <w:sz w:val="21"/>
          <w:szCs w:val="21"/>
        </w:rPr>
        <w:t>），</w:t>
      </w:r>
      <w:r>
        <w:rPr>
          <w:rFonts w:cs="Times New Roman" w:asciiTheme="minorEastAsia" w:hAnsiTheme="minorEastAsia" w:eastAsiaTheme="minorEastAsia"/>
          <w:spacing w:val="-6"/>
          <w:sz w:val="21"/>
          <w:szCs w:val="21"/>
        </w:rPr>
        <w:t>主要任务是形成规范化、结构化的数据资产，为数据的</w:t>
      </w:r>
      <w:r>
        <w:rPr>
          <w:rFonts w:cs="Times New Roman" w:asciiTheme="minorEastAsia" w:hAnsiTheme="minorEastAsia" w:eastAsiaTheme="minorEastAsia"/>
          <w:spacing w:val="-19"/>
          <w:sz w:val="21"/>
          <w:szCs w:val="21"/>
        </w:rPr>
        <w:t>深入分析和洞察决策做准备。财务数据分析专员、运营分析专员、</w:t>
      </w:r>
      <w:r>
        <w:rPr>
          <w:rFonts w:cs="Times New Roman" w:asciiTheme="minorEastAsia" w:hAnsiTheme="minorEastAsia" w:eastAsiaTheme="minorEastAsia"/>
          <w:spacing w:val="6"/>
          <w:sz w:val="21"/>
          <w:szCs w:val="21"/>
        </w:rPr>
        <w:t>客户分析专员、行业分析专员分别从源数据库中抽取不同的数据，为数据分析做支撑。</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第二模块主要考核包括数据分析、数据分析结果可视化呈现、撰写决策报告（BA 大数据分析平台）等专业核心能力，解</w:t>
      </w:r>
      <w:r>
        <w:rPr>
          <w:rFonts w:cs="Times New Roman" w:asciiTheme="minorEastAsia" w:hAnsiTheme="minorEastAsia" w:eastAsiaTheme="minorEastAsia"/>
          <w:spacing w:val="-9"/>
          <w:sz w:val="21"/>
          <w:szCs w:val="21"/>
        </w:rPr>
        <w:t>决企业内部管理、外部风险控制、引导企业业务发展。财务数据</w:t>
      </w:r>
      <w:r>
        <w:rPr>
          <w:rFonts w:cs="Times New Roman" w:asciiTheme="minorEastAsia" w:hAnsiTheme="minorEastAsia" w:eastAsiaTheme="minorEastAsia"/>
          <w:spacing w:val="-12"/>
          <w:sz w:val="21"/>
          <w:szCs w:val="21"/>
        </w:rPr>
        <w:t>分析专员、运营分析专员、客户分析专员、行业分析专员分别通</w:t>
      </w:r>
      <w:r>
        <w:rPr>
          <w:rFonts w:cs="Times New Roman" w:asciiTheme="minorEastAsia" w:hAnsiTheme="minorEastAsia" w:eastAsiaTheme="minorEastAsia"/>
          <w:spacing w:val="-8"/>
          <w:sz w:val="21"/>
          <w:szCs w:val="21"/>
        </w:rPr>
        <w:t>过不同岗位的管理模型，呈现出相应的管理看板，财务分析师作</w:t>
      </w:r>
      <w:r>
        <w:rPr>
          <w:rFonts w:cs="Times New Roman" w:asciiTheme="minorEastAsia" w:hAnsiTheme="minorEastAsia" w:eastAsiaTheme="minorEastAsia"/>
          <w:sz w:val="21"/>
          <w:szCs w:val="21"/>
        </w:rPr>
        <w:t>为财务部负责人，为公司出智能决策报告。</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bookmarkStart w:id="3" w:name="五、竞赛方式"/>
      <w:bookmarkEnd w:id="3"/>
      <w:r>
        <w:rPr>
          <w:rFonts w:hint="eastAsia" w:cs="Times New Roman" w:asciiTheme="minorEastAsia" w:hAnsiTheme="minorEastAsia" w:eastAsiaTheme="minorEastAsia"/>
          <w:b/>
          <w:bCs/>
          <w:sz w:val="21"/>
          <w:szCs w:val="21"/>
        </w:rPr>
        <w:t>四、竞赛岗位</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每支参赛队设</w:t>
      </w:r>
      <w:r>
        <w:rPr>
          <w:rFonts w:hint="eastAsia" w:cs="Times New Roman" w:asciiTheme="minorEastAsia" w:hAnsiTheme="minorEastAsia" w:eastAsiaTheme="minorEastAsia"/>
          <w:sz w:val="21"/>
          <w:szCs w:val="21"/>
          <w:lang w:val="en-US"/>
        </w:rPr>
        <w:t>4个角色岗位，对应</w:t>
      </w:r>
      <w:r>
        <w:rPr>
          <w:rFonts w:hint="eastAsia" w:cs="Times New Roman" w:asciiTheme="minorEastAsia" w:hAnsiTheme="minorEastAsia" w:eastAsiaTheme="minorEastAsia"/>
          <w:sz w:val="21"/>
          <w:szCs w:val="21"/>
        </w:rPr>
        <w:t>分配</w:t>
      </w:r>
      <w:r>
        <w:rPr>
          <w:rFonts w:hint="eastAsia" w:cs="Times New Roman" w:asciiTheme="minorEastAsia" w:hAnsiTheme="minorEastAsia" w:eastAsiaTheme="minorEastAsia"/>
          <w:sz w:val="21"/>
          <w:szCs w:val="21"/>
          <w:lang w:val="en-US"/>
        </w:rPr>
        <w:t>4个考号，按照考号编码顺序，前两个为DMP分析岗位，后两个为BA分析岗位。各参赛队可在考试前自行分配岗位任务，正式竞赛开始后，一经考试登录，不得再进行调换。</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r>
        <w:rPr>
          <w:rFonts w:hint="eastAsia" w:cs="Times New Roman" w:asciiTheme="minorEastAsia" w:hAnsiTheme="minorEastAsia" w:eastAsiaTheme="minorEastAsia"/>
          <w:b/>
          <w:bCs/>
          <w:sz w:val="21"/>
          <w:szCs w:val="21"/>
        </w:rPr>
        <w:t>五、</w:t>
      </w:r>
      <w:r>
        <w:rPr>
          <w:rFonts w:cs="Times New Roman" w:asciiTheme="minorEastAsia" w:hAnsiTheme="minorEastAsia" w:eastAsiaTheme="minorEastAsia"/>
          <w:b/>
          <w:bCs/>
          <w:sz w:val="21"/>
          <w:szCs w:val="21"/>
        </w:rPr>
        <w:t>竞赛</w:t>
      </w:r>
      <w:r>
        <w:rPr>
          <w:rFonts w:hint="eastAsia" w:cs="Times New Roman" w:asciiTheme="minorEastAsia" w:hAnsiTheme="minorEastAsia" w:eastAsiaTheme="minorEastAsia"/>
          <w:b/>
          <w:bCs/>
          <w:sz w:val="21"/>
          <w:szCs w:val="21"/>
        </w:rPr>
        <w:t>时间</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正式比赛时长为 180 分钟。</w:t>
      </w:r>
      <w:r>
        <w:rPr>
          <w:rFonts w:hint="eastAsia" w:cs="Times New Roman" w:asciiTheme="minorEastAsia" w:hAnsiTheme="minorEastAsia" w:eastAsiaTheme="minorEastAsia"/>
          <w:sz w:val="21"/>
          <w:szCs w:val="21"/>
        </w:rPr>
        <w:t>四个岗位任务同时进行。</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hint="eastAsia" w:cs="Times New Roman" w:asciiTheme="minorEastAsia" w:hAnsiTheme="minorEastAsia" w:eastAsiaTheme="minorEastAsia"/>
          <w:sz w:val="21"/>
          <w:szCs w:val="21"/>
          <w:lang w:eastAsia="zh-CN"/>
        </w:rPr>
      </w:pPr>
      <w:r>
        <w:rPr>
          <w:rFonts w:hint="eastAsia" w:cs="Times New Roman" w:asciiTheme="minorEastAsia" w:hAnsiTheme="minorEastAsia" w:eastAsiaTheme="minorEastAsia"/>
          <w:sz w:val="21"/>
          <w:szCs w:val="21"/>
        </w:rPr>
        <w:t>竞赛时间安排：</w:t>
      </w:r>
      <w:r>
        <w:rPr>
          <w:rFonts w:hint="eastAsia" w:cs="Times New Roman" w:asciiTheme="minorEastAsia" w:hAnsiTheme="minorEastAsia" w:eastAsiaTheme="minorEastAsia"/>
          <w:sz w:val="21"/>
          <w:szCs w:val="21"/>
          <w:lang w:eastAsia="zh-CN"/>
        </w:rPr>
        <w:t>（具体安排以参赛指南为准）</w:t>
      </w:r>
    </w:p>
    <w:tbl>
      <w:tblPr>
        <w:tblStyle w:val="9"/>
        <w:tblW w:w="9392" w:type="dxa"/>
        <w:tblInd w:w="93" w:type="dxa"/>
        <w:shd w:val="clear" w:color="auto" w:fill="auto"/>
        <w:tblLayout w:type="fixed"/>
        <w:tblCellMar>
          <w:top w:w="0" w:type="dxa"/>
          <w:left w:w="108" w:type="dxa"/>
          <w:bottom w:w="0" w:type="dxa"/>
          <w:right w:w="108" w:type="dxa"/>
        </w:tblCellMar>
      </w:tblPr>
      <w:tblGrid>
        <w:gridCol w:w="1577"/>
        <w:gridCol w:w="1515"/>
        <w:gridCol w:w="3075"/>
        <w:gridCol w:w="3225"/>
      </w:tblGrid>
      <w:tr>
        <w:tblPrEx>
          <w:shd w:val="clear" w:color="auto" w:fill="auto"/>
          <w:tblCellMar>
            <w:top w:w="0" w:type="dxa"/>
            <w:left w:w="108" w:type="dxa"/>
            <w:bottom w:w="0" w:type="dxa"/>
            <w:right w:w="108" w:type="dxa"/>
          </w:tblCellMar>
        </w:tblPrEx>
        <w:trPr>
          <w:trHeight w:val="255" w:hRule="atLeast"/>
        </w:trPr>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bookmarkStart w:id="4" w:name="六、竞赛试题"/>
            <w:bookmarkEnd w:id="4"/>
            <w:r>
              <w:rPr>
                <w:rFonts w:hint="eastAsia" w:ascii="宋体" w:hAnsi="宋体" w:eastAsia="宋体" w:cs="宋体"/>
                <w:b/>
                <w:bCs/>
                <w:i w:val="0"/>
                <w:iCs w:val="0"/>
                <w:color w:val="000000"/>
                <w:kern w:val="0"/>
                <w:sz w:val="22"/>
                <w:szCs w:val="22"/>
                <w:u w:val="none"/>
                <w:lang w:val="en-US" w:eastAsia="zh-CN" w:bidi="ar"/>
              </w:rPr>
              <w:t>日期</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时间</w:t>
            </w:r>
          </w:p>
        </w:tc>
        <w:tc>
          <w:tcPr>
            <w:tcW w:w="3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内容</w:t>
            </w:r>
          </w:p>
        </w:tc>
        <w:tc>
          <w:tcPr>
            <w:tcW w:w="3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CellMar>
            <w:top w:w="0" w:type="dxa"/>
            <w:left w:w="108" w:type="dxa"/>
            <w:bottom w:w="0" w:type="dxa"/>
            <w:right w:w="108" w:type="dxa"/>
          </w:tblCellMar>
        </w:tblPrEx>
        <w:trPr>
          <w:trHeight w:val="300" w:hRule="atLeast"/>
        </w:trPr>
        <w:tc>
          <w:tcPr>
            <w:tcW w:w="157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2021年4月12日</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9:00—12:00</w:t>
            </w:r>
          </w:p>
        </w:tc>
        <w:tc>
          <w:tcPr>
            <w:tcW w:w="3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报到</w:t>
            </w:r>
          </w:p>
        </w:tc>
        <w:tc>
          <w:tcPr>
            <w:tcW w:w="3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领队、选手预备会前提交参赛资料</w:t>
            </w:r>
          </w:p>
        </w:tc>
      </w:tr>
      <w:tr>
        <w:tblPrEx>
          <w:tblCellMar>
            <w:top w:w="0" w:type="dxa"/>
            <w:left w:w="108" w:type="dxa"/>
            <w:bottom w:w="0" w:type="dxa"/>
            <w:right w:w="108" w:type="dxa"/>
          </w:tblCellMar>
        </w:tblPrEx>
        <w:trPr>
          <w:trHeight w:val="215" w:hRule="atLeast"/>
        </w:trPr>
        <w:tc>
          <w:tcPr>
            <w:tcW w:w="15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w:t>
            </w:r>
          </w:p>
        </w:tc>
        <w:tc>
          <w:tcPr>
            <w:tcW w:w="3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赛前说明会</w:t>
            </w:r>
          </w:p>
        </w:tc>
        <w:tc>
          <w:tcPr>
            <w:tcW w:w="3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300" w:hRule="atLeast"/>
        </w:trPr>
        <w:tc>
          <w:tcPr>
            <w:tcW w:w="1577"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2021年4月13日</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9:00—10:30</w:t>
            </w:r>
          </w:p>
        </w:tc>
        <w:tc>
          <w:tcPr>
            <w:tcW w:w="3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开幕式</w:t>
            </w:r>
          </w:p>
        </w:tc>
        <w:tc>
          <w:tcPr>
            <w:tcW w:w="3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lang w:val="zh-CN" w:eastAsia="zh-CN" w:bidi="zh-CN"/>
              </w:rPr>
            </w:pPr>
            <w:r>
              <w:rPr>
                <w:rFonts w:hint="eastAsia" w:ascii="宋体" w:hAnsi="宋体" w:eastAsia="宋体" w:cs="宋体"/>
                <w:i w:val="0"/>
                <w:iCs w:val="0"/>
                <w:color w:val="000000"/>
                <w:sz w:val="20"/>
                <w:szCs w:val="20"/>
                <w:u w:val="none"/>
                <w:lang w:eastAsia="zh-CN"/>
              </w:rPr>
              <w:t>全体人员</w:t>
            </w:r>
          </w:p>
        </w:tc>
      </w:tr>
      <w:tr>
        <w:tblPrEx>
          <w:tblCellMar>
            <w:top w:w="0" w:type="dxa"/>
            <w:left w:w="108" w:type="dxa"/>
            <w:bottom w:w="0" w:type="dxa"/>
            <w:right w:w="108" w:type="dxa"/>
          </w:tblCellMar>
        </w:tblPrEx>
        <w:trPr>
          <w:trHeight w:val="235" w:hRule="atLeast"/>
        </w:trPr>
        <w:tc>
          <w:tcPr>
            <w:tcW w:w="1577"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12:30</w:t>
            </w:r>
          </w:p>
        </w:tc>
        <w:tc>
          <w:tcPr>
            <w:tcW w:w="3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选手</w:t>
            </w:r>
            <w:bookmarkStart w:id="108" w:name="_GoBack"/>
            <w:bookmarkEnd w:id="108"/>
            <w:r>
              <w:rPr>
                <w:rFonts w:hint="eastAsia" w:ascii="宋体" w:hAnsi="宋体" w:eastAsia="宋体" w:cs="宋体"/>
                <w:i w:val="0"/>
                <w:iCs w:val="0"/>
                <w:color w:val="000000"/>
                <w:kern w:val="0"/>
                <w:sz w:val="20"/>
                <w:szCs w:val="20"/>
                <w:u w:val="none"/>
                <w:lang w:val="en-US" w:eastAsia="zh-CN" w:bidi="ar"/>
              </w:rPr>
              <w:t>检录</w:t>
            </w:r>
          </w:p>
        </w:tc>
        <w:tc>
          <w:tcPr>
            <w:tcW w:w="3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90" w:hRule="atLeast"/>
        </w:trPr>
        <w:tc>
          <w:tcPr>
            <w:tcW w:w="1577" w:type="dxa"/>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13:00—16:00</w:t>
            </w:r>
          </w:p>
        </w:tc>
        <w:tc>
          <w:tcPr>
            <w:tcW w:w="3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商务大数据分析与应用竞赛</w:t>
            </w:r>
          </w:p>
        </w:tc>
        <w:tc>
          <w:tcPr>
            <w:tcW w:w="3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265" w:hRule="atLeast"/>
        </w:trPr>
        <w:tc>
          <w:tcPr>
            <w:tcW w:w="1577" w:type="dxa"/>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16:00—18:00</w:t>
            </w:r>
          </w:p>
        </w:tc>
        <w:tc>
          <w:tcPr>
            <w:tcW w:w="3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比赛成绩公布</w:t>
            </w:r>
          </w:p>
        </w:tc>
        <w:tc>
          <w:tcPr>
            <w:tcW w:w="32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bl>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r>
        <w:rPr>
          <w:rFonts w:cs="Times New Roman" w:asciiTheme="minorEastAsia" w:hAnsiTheme="minorEastAsia" w:eastAsiaTheme="minorEastAsia"/>
          <w:b/>
          <w:bCs/>
          <w:sz w:val="21"/>
          <w:szCs w:val="21"/>
        </w:rPr>
        <w:t>六、竞赛试题</w:t>
      </w:r>
    </w:p>
    <w:p>
      <w:pPr>
        <w:pStyle w:val="3"/>
        <w:pageBreakBefore w:val="0"/>
        <w:widowControl w:val="0"/>
        <w:kinsoku/>
        <w:wordWrap/>
        <w:overflowPunct/>
        <w:topLinePunct w:val="0"/>
        <w:bidi w:val="0"/>
        <w:adjustRightInd/>
        <w:snapToGrid/>
        <w:spacing w:line="360" w:lineRule="auto"/>
        <w:ind w:firstLine="392"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pacing w:val="-7"/>
          <w:sz w:val="21"/>
          <w:szCs w:val="21"/>
        </w:rPr>
        <w:t>本赛项</w:t>
      </w:r>
      <w:r>
        <w:rPr>
          <w:rFonts w:hint="eastAsia" w:cs="Times New Roman" w:asciiTheme="minorEastAsia" w:hAnsiTheme="minorEastAsia" w:eastAsiaTheme="minorEastAsia"/>
          <w:spacing w:val="-7"/>
          <w:sz w:val="21"/>
          <w:szCs w:val="21"/>
        </w:rPr>
        <w:t>主要</w:t>
      </w:r>
      <w:r>
        <w:rPr>
          <w:rFonts w:cs="Times New Roman" w:asciiTheme="minorEastAsia" w:hAnsiTheme="minorEastAsia" w:eastAsiaTheme="minorEastAsia"/>
          <w:spacing w:val="-7"/>
          <w:sz w:val="21"/>
          <w:szCs w:val="21"/>
        </w:rPr>
        <w:t>为</w:t>
      </w:r>
      <w:r>
        <w:rPr>
          <w:rFonts w:hint="eastAsia" w:cs="Times New Roman" w:asciiTheme="minorEastAsia" w:hAnsiTheme="minorEastAsia" w:eastAsiaTheme="minorEastAsia"/>
          <w:spacing w:val="-7"/>
          <w:sz w:val="21"/>
          <w:szCs w:val="21"/>
        </w:rPr>
        <w:t>业务</w:t>
      </w:r>
      <w:r>
        <w:rPr>
          <w:rFonts w:cs="Times New Roman" w:asciiTheme="minorEastAsia" w:hAnsiTheme="minorEastAsia" w:eastAsiaTheme="minorEastAsia"/>
          <w:spacing w:val="-7"/>
          <w:sz w:val="21"/>
          <w:szCs w:val="21"/>
        </w:rPr>
        <w:t>实操考核，</w:t>
      </w:r>
      <w:r>
        <w:rPr>
          <w:rFonts w:hint="eastAsia" w:cs="Times New Roman" w:asciiTheme="minorEastAsia" w:hAnsiTheme="minorEastAsia" w:eastAsiaTheme="minorEastAsia"/>
          <w:spacing w:val="-7"/>
          <w:sz w:val="21"/>
          <w:szCs w:val="21"/>
        </w:rPr>
        <w:t>赛前训练题和</w:t>
      </w:r>
      <w:r>
        <w:rPr>
          <w:rFonts w:cs="Times New Roman" w:asciiTheme="minorEastAsia" w:hAnsiTheme="minorEastAsia" w:eastAsiaTheme="minorEastAsia"/>
          <w:spacing w:val="-7"/>
          <w:sz w:val="21"/>
          <w:szCs w:val="21"/>
        </w:rPr>
        <w:t>竞赛题为不公开试题。</w:t>
      </w:r>
      <w:r>
        <w:rPr>
          <w:rFonts w:hint="eastAsia" w:cs="Times New Roman" w:asciiTheme="minorEastAsia" w:hAnsiTheme="minorEastAsia" w:eastAsiaTheme="minorEastAsia"/>
          <w:spacing w:val="-7"/>
          <w:sz w:val="21"/>
          <w:szCs w:val="21"/>
        </w:rPr>
        <w:t>赛前训练题</w:t>
      </w:r>
      <w:r>
        <w:rPr>
          <w:rFonts w:cs="Times New Roman" w:asciiTheme="minorEastAsia" w:hAnsiTheme="minorEastAsia" w:eastAsiaTheme="minorEastAsia"/>
          <w:spacing w:val="-14"/>
          <w:sz w:val="21"/>
          <w:szCs w:val="21"/>
        </w:rPr>
        <w:t>提前</w:t>
      </w:r>
      <w:r>
        <w:rPr>
          <w:rFonts w:hint="eastAsia" w:cs="Times New Roman" w:asciiTheme="minorEastAsia" w:hAnsiTheme="minorEastAsia" w:eastAsiaTheme="minorEastAsia"/>
          <w:spacing w:val="-14"/>
          <w:sz w:val="21"/>
          <w:szCs w:val="21"/>
        </w:rPr>
        <w:t>向</w:t>
      </w:r>
      <w:r>
        <w:rPr>
          <w:rFonts w:cs="Times New Roman" w:asciiTheme="minorEastAsia" w:hAnsiTheme="minorEastAsia" w:eastAsiaTheme="minorEastAsia"/>
          <w:spacing w:val="-14"/>
          <w:sz w:val="21"/>
          <w:szCs w:val="21"/>
        </w:rPr>
        <w:t>各参赛</w:t>
      </w:r>
      <w:r>
        <w:rPr>
          <w:rFonts w:cs="Times New Roman" w:asciiTheme="minorEastAsia" w:hAnsiTheme="minorEastAsia" w:eastAsiaTheme="minorEastAsia"/>
          <w:spacing w:val="-15"/>
          <w:sz w:val="21"/>
          <w:szCs w:val="21"/>
        </w:rPr>
        <w:t>队</w:t>
      </w:r>
      <w:r>
        <w:rPr>
          <w:rFonts w:cs="Times New Roman" w:asciiTheme="minorEastAsia" w:hAnsiTheme="minorEastAsia" w:eastAsiaTheme="minorEastAsia"/>
          <w:spacing w:val="-14"/>
          <w:sz w:val="21"/>
          <w:szCs w:val="21"/>
        </w:rPr>
        <w:t>开放</w:t>
      </w:r>
      <w:r>
        <w:rPr>
          <w:rFonts w:hint="eastAsia" w:cs="Times New Roman" w:asciiTheme="minorEastAsia" w:hAnsiTheme="minorEastAsia" w:eastAsiaTheme="minorEastAsia"/>
          <w:spacing w:val="-14"/>
          <w:sz w:val="21"/>
          <w:szCs w:val="21"/>
        </w:rPr>
        <w:t>，并提供</w:t>
      </w:r>
      <w:r>
        <w:rPr>
          <w:rFonts w:cs="Times New Roman" w:asciiTheme="minorEastAsia" w:hAnsiTheme="minorEastAsia" w:eastAsiaTheme="minorEastAsia"/>
          <w:spacing w:val="-14"/>
          <w:sz w:val="21"/>
          <w:szCs w:val="21"/>
        </w:rPr>
        <w:t>训练平台</w:t>
      </w:r>
      <w:r>
        <w:rPr>
          <w:rFonts w:hint="eastAsia" w:cs="Times New Roman" w:asciiTheme="minorEastAsia" w:hAnsiTheme="minorEastAsia" w:eastAsiaTheme="minorEastAsia"/>
          <w:spacing w:val="-14"/>
          <w:sz w:val="21"/>
          <w:szCs w:val="21"/>
        </w:rPr>
        <w:t>账号，</w:t>
      </w:r>
      <w:r>
        <w:rPr>
          <w:rFonts w:cs="Times New Roman" w:asciiTheme="minorEastAsia" w:hAnsiTheme="minorEastAsia" w:eastAsiaTheme="minorEastAsia"/>
          <w:spacing w:val="-14"/>
          <w:sz w:val="21"/>
          <w:szCs w:val="21"/>
        </w:rPr>
        <w:t>供</w:t>
      </w:r>
      <w:r>
        <w:rPr>
          <w:rFonts w:hint="eastAsia" w:cs="Times New Roman" w:asciiTheme="minorEastAsia" w:hAnsiTheme="minorEastAsia" w:eastAsiaTheme="minorEastAsia"/>
          <w:spacing w:val="-14"/>
          <w:sz w:val="21"/>
          <w:szCs w:val="21"/>
        </w:rPr>
        <w:t>指导老师和参赛学生</w:t>
      </w:r>
      <w:r>
        <w:rPr>
          <w:rFonts w:cs="Times New Roman" w:asciiTheme="minorEastAsia" w:hAnsiTheme="minorEastAsia" w:eastAsiaTheme="minorEastAsia"/>
          <w:spacing w:val="-15"/>
          <w:sz w:val="21"/>
          <w:szCs w:val="21"/>
        </w:rPr>
        <w:t>练习。</w:t>
      </w:r>
      <w:r>
        <w:rPr>
          <w:rFonts w:cs="Times New Roman" w:asciiTheme="minorEastAsia" w:hAnsiTheme="minorEastAsia" w:eastAsiaTheme="minorEastAsia"/>
          <w:spacing w:val="-7"/>
          <w:sz w:val="21"/>
          <w:szCs w:val="21"/>
        </w:rPr>
        <w:t>竞赛试题采用题库方式，</w:t>
      </w:r>
      <w:r>
        <w:rPr>
          <w:rFonts w:cs="Times New Roman" w:asciiTheme="minorEastAsia" w:hAnsiTheme="minorEastAsia" w:eastAsiaTheme="minorEastAsia"/>
          <w:spacing w:val="-15"/>
          <w:sz w:val="21"/>
          <w:szCs w:val="21"/>
        </w:rPr>
        <w:t>在比赛前由专家抽取确定，开赛后公布。</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bookmarkStart w:id="5" w:name="七、分值设置"/>
      <w:bookmarkEnd w:id="5"/>
      <w:r>
        <w:rPr>
          <w:rFonts w:hint="eastAsia" w:cs="Times New Roman" w:asciiTheme="minorEastAsia" w:hAnsiTheme="minorEastAsia" w:eastAsiaTheme="minorEastAsia"/>
          <w:b/>
          <w:bCs/>
          <w:sz w:val="21"/>
          <w:szCs w:val="21"/>
        </w:rPr>
        <w:t>七、竞赛评分</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（一）评分原则</w:t>
      </w:r>
    </w:p>
    <w:p>
      <w:pPr>
        <w:pStyle w:val="3"/>
        <w:pageBreakBefore w:val="0"/>
        <w:widowControl w:val="0"/>
        <w:kinsoku/>
        <w:wordWrap/>
        <w:overflowPunct/>
        <w:topLinePunct w:val="0"/>
        <w:bidi w:val="0"/>
        <w:adjustRightInd/>
        <w:snapToGrid/>
        <w:spacing w:line="360" w:lineRule="auto"/>
        <w:ind w:firstLine="384"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pacing w:val="-9"/>
          <w:sz w:val="21"/>
          <w:szCs w:val="21"/>
        </w:rPr>
        <w:t>赛项评分采用结果评分方法，由系统自动评分。竞赛贯彻落实大赛一贯坚持的</w:t>
      </w:r>
      <w:r>
        <w:rPr>
          <w:rFonts w:cs="Times New Roman" w:asciiTheme="minorEastAsia" w:hAnsiTheme="minorEastAsia" w:eastAsiaTheme="minorEastAsia"/>
          <w:spacing w:val="-11"/>
          <w:sz w:val="21"/>
          <w:szCs w:val="21"/>
        </w:rPr>
        <w:t>公开、公平和公正原则。结果评分：依据赛项评分标准，对参赛</w:t>
      </w:r>
      <w:r>
        <w:rPr>
          <w:rFonts w:cs="Times New Roman" w:asciiTheme="minorEastAsia" w:hAnsiTheme="minorEastAsia" w:eastAsiaTheme="minorEastAsia"/>
          <w:spacing w:val="-6"/>
          <w:sz w:val="21"/>
          <w:szCs w:val="21"/>
        </w:rPr>
        <w:t>选手提交的竞赛成果进行无纸化自动评分，无人为因素干扰。赛</w:t>
      </w:r>
      <w:r>
        <w:rPr>
          <w:rFonts w:cs="Times New Roman" w:asciiTheme="minorEastAsia" w:hAnsiTheme="minorEastAsia" w:eastAsiaTheme="minorEastAsia"/>
          <w:sz w:val="21"/>
          <w:szCs w:val="21"/>
        </w:rPr>
        <w:t>项最终按总评分得分高低，确定奖项归属。</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（二）评分方法</w:t>
      </w:r>
    </w:p>
    <w:p>
      <w:pPr>
        <w:pStyle w:val="14"/>
        <w:pageBreakBefore w:val="0"/>
        <w:widowControl w:val="0"/>
        <w:tabs>
          <w:tab w:val="left" w:pos="1223"/>
        </w:tabs>
        <w:kinsoku/>
        <w:wordWrap/>
        <w:overflowPunct/>
        <w:topLinePunct w:val="0"/>
        <w:bidi w:val="0"/>
        <w:adjustRightInd/>
        <w:snapToGrid/>
        <w:spacing w:line="360" w:lineRule="auto"/>
        <w:ind w:left="0" w:firstLine="388" w:firstLineChars="200"/>
        <w:jc w:val="both"/>
        <w:textAlignment w:val="auto"/>
        <w:rPr>
          <w:rFonts w:cs="Times New Roman" w:asciiTheme="minorEastAsia" w:hAnsiTheme="minorEastAsia" w:eastAsiaTheme="minorEastAsia"/>
          <w:spacing w:val="-8"/>
          <w:sz w:val="21"/>
          <w:szCs w:val="21"/>
        </w:rPr>
      </w:pPr>
      <w:r>
        <w:rPr>
          <w:rFonts w:cs="Times New Roman" w:asciiTheme="minorEastAsia" w:hAnsiTheme="minorEastAsia" w:eastAsiaTheme="minorEastAsia"/>
          <w:spacing w:val="-8"/>
          <w:sz w:val="21"/>
          <w:szCs w:val="21"/>
          <w:lang w:val="en-US"/>
        </w:rPr>
        <w:t>1、</w:t>
      </w:r>
      <w:r>
        <w:rPr>
          <w:rFonts w:cs="Times New Roman" w:asciiTheme="minorEastAsia" w:hAnsiTheme="minorEastAsia" w:eastAsiaTheme="minorEastAsia"/>
          <w:spacing w:val="-8"/>
          <w:sz w:val="21"/>
          <w:szCs w:val="21"/>
        </w:rPr>
        <w:t>裁判员选聘。裁判长由大赛裁判委员会向大赛组委会推荐，由大赛组委会聘任。裁判长组建裁判组，执行裁判长负责制。</w:t>
      </w:r>
      <w:bookmarkStart w:id="6" w:name="bookmark85"/>
      <w:bookmarkEnd w:id="6"/>
    </w:p>
    <w:p>
      <w:pPr>
        <w:pStyle w:val="14"/>
        <w:pageBreakBefore w:val="0"/>
        <w:widowControl w:val="0"/>
        <w:tabs>
          <w:tab w:val="left" w:pos="1223"/>
        </w:tabs>
        <w:kinsoku/>
        <w:wordWrap/>
        <w:overflowPunct/>
        <w:topLinePunct w:val="0"/>
        <w:bidi w:val="0"/>
        <w:adjustRightInd/>
        <w:snapToGrid/>
        <w:spacing w:line="360" w:lineRule="auto"/>
        <w:ind w:left="0" w:firstLine="376"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pacing w:val="-11"/>
          <w:sz w:val="21"/>
          <w:szCs w:val="21"/>
          <w:lang w:val="en-US"/>
        </w:rPr>
        <w:t>2、</w:t>
      </w:r>
      <w:r>
        <w:rPr>
          <w:rFonts w:cs="Times New Roman" w:asciiTheme="minorEastAsia" w:hAnsiTheme="minorEastAsia" w:eastAsiaTheme="minorEastAsia"/>
          <w:spacing w:val="-11"/>
          <w:sz w:val="21"/>
          <w:szCs w:val="21"/>
        </w:rPr>
        <w:t>评分方法：评分方式为系统自动评分。记分裁判负责在监</w:t>
      </w:r>
      <w:r>
        <w:rPr>
          <w:rFonts w:cs="Times New Roman" w:asciiTheme="minorEastAsia" w:hAnsiTheme="minorEastAsia" w:eastAsiaTheme="minorEastAsia"/>
          <w:spacing w:val="-8"/>
          <w:sz w:val="21"/>
          <w:szCs w:val="21"/>
        </w:rPr>
        <w:t>督人员监督下完成统分工作，统分表由记分裁判、裁判长、监督</w:t>
      </w:r>
      <w:r>
        <w:rPr>
          <w:rFonts w:cs="Times New Roman" w:asciiTheme="minorEastAsia" w:hAnsiTheme="minorEastAsia" w:eastAsiaTheme="minorEastAsia"/>
          <w:spacing w:val="-9"/>
          <w:sz w:val="21"/>
          <w:szCs w:val="21"/>
        </w:rPr>
        <w:t>组成员共同签字确认。统分后，记分裁判负责在监督人员监督下完成汇总计分工作，汇总计分表。成绩汇总结束后，由加密裁判</w:t>
      </w:r>
      <w:r>
        <w:rPr>
          <w:rFonts w:cs="Times New Roman" w:asciiTheme="minorEastAsia" w:hAnsiTheme="minorEastAsia" w:eastAsiaTheme="minorEastAsia"/>
          <w:spacing w:val="-8"/>
          <w:sz w:val="21"/>
          <w:szCs w:val="21"/>
        </w:rPr>
        <w:t>对汇总成绩进行还原，形成竞赛队最终成绩单。在正式公布比赛</w:t>
      </w:r>
      <w:r>
        <w:rPr>
          <w:rFonts w:cs="Times New Roman" w:asciiTheme="minorEastAsia" w:hAnsiTheme="minorEastAsia" w:eastAsiaTheme="minorEastAsia"/>
          <w:spacing w:val="-11"/>
          <w:sz w:val="21"/>
          <w:szCs w:val="21"/>
        </w:rPr>
        <w:t>成绩之前，任何人员不得随意泄露过程评分和结果评分的评分结</w:t>
      </w:r>
      <w:r>
        <w:rPr>
          <w:rFonts w:cs="Times New Roman" w:asciiTheme="minorEastAsia" w:hAnsiTheme="minorEastAsia" w:eastAsiaTheme="minorEastAsia"/>
          <w:sz w:val="21"/>
          <w:szCs w:val="21"/>
        </w:rPr>
        <w:t>果。</w:t>
      </w:r>
    </w:p>
    <w:p>
      <w:pPr>
        <w:pStyle w:val="3"/>
        <w:pageBreakBefore w:val="0"/>
        <w:widowControl w:val="0"/>
        <w:kinsoku/>
        <w:wordWrap/>
        <w:overflowPunct/>
        <w:topLinePunct w:val="0"/>
        <w:bidi w:val="0"/>
        <w:adjustRightInd/>
        <w:snapToGrid/>
        <w:spacing w:line="360" w:lineRule="auto"/>
        <w:ind w:firstLine="380" w:firstLineChars="200"/>
        <w:jc w:val="both"/>
        <w:textAlignment w:val="auto"/>
        <w:rPr>
          <w:rFonts w:cs="Times New Roman" w:asciiTheme="minorEastAsia" w:hAnsiTheme="minorEastAsia" w:eastAsiaTheme="minorEastAsia"/>
          <w:spacing w:val="-4"/>
          <w:sz w:val="21"/>
          <w:szCs w:val="21"/>
        </w:rPr>
      </w:pPr>
      <w:r>
        <w:rPr>
          <w:rFonts w:cs="Times New Roman" w:asciiTheme="minorEastAsia" w:hAnsiTheme="minorEastAsia" w:eastAsiaTheme="minorEastAsia"/>
          <w:spacing w:val="-10"/>
          <w:sz w:val="21"/>
          <w:szCs w:val="21"/>
          <w:lang w:val="en-US"/>
        </w:rPr>
        <w:t>3、</w:t>
      </w:r>
      <w:r>
        <w:rPr>
          <w:rFonts w:cs="Times New Roman" w:asciiTheme="minorEastAsia" w:hAnsiTheme="minorEastAsia" w:eastAsiaTheme="minorEastAsia"/>
          <w:spacing w:val="-4"/>
          <w:sz w:val="21"/>
          <w:szCs w:val="21"/>
        </w:rPr>
        <w:t>赛项最终成绩：</w:t>
      </w:r>
      <w:r>
        <w:rPr>
          <w:rFonts w:hint="eastAsia" w:cs="Times New Roman" w:asciiTheme="minorEastAsia" w:hAnsiTheme="minorEastAsia" w:eastAsiaTheme="minorEastAsia"/>
          <w:spacing w:val="-4"/>
          <w:sz w:val="21"/>
          <w:szCs w:val="21"/>
        </w:rPr>
        <w:t>每名参赛选手</w:t>
      </w:r>
      <w:r>
        <w:rPr>
          <w:rFonts w:cs="Times New Roman" w:asciiTheme="minorEastAsia" w:hAnsiTheme="minorEastAsia" w:eastAsiaTheme="minorEastAsia"/>
          <w:spacing w:val="-4"/>
          <w:sz w:val="21"/>
          <w:szCs w:val="21"/>
        </w:rPr>
        <w:t>按 100 分制计分</w:t>
      </w:r>
      <w:r>
        <w:rPr>
          <w:rFonts w:hint="eastAsia" w:cs="Times New Roman" w:asciiTheme="minorEastAsia" w:hAnsiTheme="minorEastAsia" w:eastAsiaTheme="minorEastAsia"/>
          <w:spacing w:val="-4"/>
          <w:sz w:val="21"/>
          <w:szCs w:val="21"/>
        </w:rPr>
        <w:t>，每支参赛队按四人总成绩计分</w:t>
      </w:r>
      <w:r>
        <w:rPr>
          <w:rFonts w:cs="Times New Roman" w:asciiTheme="minorEastAsia" w:hAnsiTheme="minorEastAsia" w:eastAsiaTheme="minorEastAsia"/>
          <w:spacing w:val="-4"/>
          <w:sz w:val="21"/>
          <w:szCs w:val="21"/>
        </w:rPr>
        <w:t>。最终成绩经复核无误， 由裁判长、监督人员和仲裁人员签字确认后公布。所有的评分表、成绩汇总表备案以供核查，最终的成绩由裁判长进行审核确认并上报大赛组委会。</w:t>
      </w:r>
    </w:p>
    <w:p>
      <w:pPr>
        <w:pageBreakBefore w:val="0"/>
        <w:widowControl w:val="0"/>
        <w:kinsoku/>
        <w:wordWrap/>
        <w:overflowPunct/>
        <w:topLinePunct w:val="0"/>
        <w:bidi w:val="0"/>
        <w:adjustRightInd/>
        <w:snapToGrid/>
        <w:spacing w:line="360" w:lineRule="auto"/>
        <w:ind w:firstLine="422" w:firstLineChars="200"/>
        <w:textAlignment w:val="auto"/>
        <w:outlineLvl w:val="1"/>
        <w:rPr>
          <w:rFonts w:asciiTheme="minorEastAsia" w:hAnsiTheme="minorEastAsia" w:eastAsiaTheme="minorEastAsia"/>
          <w:b/>
          <w:sz w:val="21"/>
          <w:szCs w:val="21"/>
        </w:rPr>
      </w:pPr>
      <w:r>
        <w:rPr>
          <w:rFonts w:hint="eastAsia" w:asciiTheme="minorEastAsia" w:hAnsiTheme="minorEastAsia" w:eastAsiaTheme="minorEastAsia"/>
          <w:b/>
          <w:sz w:val="21"/>
          <w:szCs w:val="21"/>
          <w:lang w:val="en-US"/>
        </w:rPr>
        <w:t>（三）</w:t>
      </w:r>
      <w:r>
        <w:rPr>
          <w:rFonts w:hint="eastAsia" w:asciiTheme="minorEastAsia" w:hAnsiTheme="minorEastAsia" w:eastAsiaTheme="minorEastAsia"/>
          <w:b/>
          <w:sz w:val="21"/>
          <w:szCs w:val="21"/>
        </w:rPr>
        <w:t>试题分值</w:t>
      </w:r>
    </w:p>
    <w:p>
      <w:pPr>
        <w:pageBreakBefore w:val="0"/>
        <w:widowControl w:val="0"/>
        <w:kinsoku/>
        <w:wordWrap/>
        <w:overflowPunct/>
        <w:topLinePunct w:val="0"/>
        <w:bidi w:val="0"/>
        <w:adjustRightInd/>
        <w:snapToGrid/>
        <w:spacing w:line="360" w:lineRule="auto"/>
        <w:ind w:firstLine="422" w:firstLineChars="200"/>
        <w:textAlignment w:val="auto"/>
        <w:rPr>
          <w:rFonts w:asciiTheme="minorEastAsia" w:hAnsiTheme="minorEastAsia" w:eastAsiaTheme="minorEastAsia"/>
          <w:spacing w:val="-10"/>
          <w:sz w:val="21"/>
          <w:szCs w:val="21"/>
        </w:rPr>
      </w:pPr>
      <w:bookmarkStart w:id="7" w:name="1、运营分析专员-DMP"/>
      <w:bookmarkEnd w:id="7"/>
      <w:r>
        <w:rPr>
          <w:rFonts w:hint="eastAsia" w:cs="宋体" w:asciiTheme="minorEastAsia" w:hAnsiTheme="minorEastAsia" w:eastAsiaTheme="minorEastAsia"/>
          <w:b/>
          <w:sz w:val="21"/>
          <w:szCs w:val="21"/>
        </w:rPr>
        <w:t>①</w:t>
      </w:r>
      <w:r>
        <w:rPr>
          <w:rFonts w:hint="eastAsia" w:asciiTheme="minorEastAsia" w:hAnsiTheme="minorEastAsia" w:eastAsiaTheme="minorEastAsia"/>
          <w:b/>
          <w:sz w:val="21"/>
          <w:szCs w:val="21"/>
        </w:rPr>
        <w:t>分析专员-DMP。</w:t>
      </w:r>
      <w:r>
        <w:rPr>
          <w:rFonts w:hint="eastAsia" w:asciiTheme="minorEastAsia" w:hAnsiTheme="minorEastAsia" w:eastAsiaTheme="minorEastAsia"/>
          <w:spacing w:val="-10"/>
          <w:sz w:val="21"/>
          <w:szCs w:val="21"/>
        </w:rPr>
        <w:t>该岗位共设</w:t>
      </w:r>
      <w:r>
        <w:rPr>
          <w:rFonts w:hint="eastAsia" w:asciiTheme="minorEastAsia" w:hAnsiTheme="minorEastAsia" w:eastAsiaTheme="minorEastAsia"/>
          <w:spacing w:val="-10"/>
          <w:sz w:val="21"/>
          <w:szCs w:val="21"/>
          <w:lang w:val="en-US"/>
        </w:rPr>
        <w:t>2</w:t>
      </w:r>
      <w:r>
        <w:rPr>
          <w:rFonts w:hint="eastAsia" w:asciiTheme="minorEastAsia" w:hAnsiTheme="minorEastAsia" w:eastAsiaTheme="minorEastAsia"/>
          <w:spacing w:val="-10"/>
          <w:sz w:val="21"/>
          <w:szCs w:val="21"/>
        </w:rPr>
        <w:t xml:space="preserve">名参赛选手，每名选手试题满分 </w:t>
      </w:r>
      <w:r>
        <w:rPr>
          <w:rFonts w:hint="eastAsia" w:asciiTheme="minorEastAsia" w:hAnsiTheme="minorEastAsia" w:eastAsiaTheme="minorEastAsia"/>
          <w:sz w:val="21"/>
          <w:szCs w:val="21"/>
        </w:rPr>
        <w:t>100</w:t>
      </w:r>
      <w:r>
        <w:rPr>
          <w:rFonts w:hint="eastAsia" w:asciiTheme="minorEastAsia" w:hAnsiTheme="minorEastAsia" w:eastAsiaTheme="minorEastAsia"/>
          <w:spacing w:val="-41"/>
          <w:sz w:val="21"/>
          <w:szCs w:val="21"/>
        </w:rPr>
        <w:t xml:space="preserve"> 分，包含 </w:t>
      </w:r>
      <w:r>
        <w:rPr>
          <w:rFonts w:hint="eastAsia" w:asciiTheme="minorEastAsia" w:hAnsiTheme="minorEastAsia" w:eastAsiaTheme="minorEastAsia"/>
          <w:sz w:val="21"/>
          <w:szCs w:val="21"/>
        </w:rPr>
        <w:t>4</w:t>
      </w:r>
      <w:r>
        <w:rPr>
          <w:rFonts w:hint="eastAsia" w:asciiTheme="minorEastAsia" w:hAnsiTheme="minorEastAsia" w:eastAsiaTheme="minorEastAsia"/>
          <w:spacing w:val="-20"/>
          <w:sz w:val="21"/>
          <w:szCs w:val="21"/>
        </w:rPr>
        <w:t xml:space="preserve"> 项工作任务，</w:t>
      </w:r>
      <w:r>
        <w:rPr>
          <w:rFonts w:hint="eastAsia" w:asciiTheme="minorEastAsia" w:hAnsiTheme="minorEastAsia" w:eastAsiaTheme="minorEastAsia"/>
          <w:spacing w:val="-10"/>
          <w:sz w:val="21"/>
          <w:szCs w:val="21"/>
        </w:rPr>
        <w:t>每项工作任务 25 分。岗位任务</w:t>
      </w:r>
      <w:r>
        <w:rPr>
          <w:rFonts w:hint="eastAsia" w:asciiTheme="minorEastAsia" w:hAnsiTheme="minorEastAsia" w:eastAsiaTheme="minorEastAsia"/>
          <w:spacing w:val="-20"/>
          <w:sz w:val="21"/>
          <w:szCs w:val="21"/>
        </w:rPr>
        <w:t>涉</w:t>
      </w:r>
      <w:r>
        <w:rPr>
          <w:rFonts w:hint="eastAsia" w:asciiTheme="minorEastAsia" w:hAnsiTheme="minorEastAsia" w:eastAsiaTheme="minorEastAsia"/>
          <w:spacing w:val="-10"/>
          <w:sz w:val="21"/>
          <w:szCs w:val="21"/>
        </w:rPr>
        <w:t>及财务、运营、客户、行业分析，具体内容以最终竞赛题为准。</w:t>
      </w:r>
    </w:p>
    <w:p>
      <w:pPr>
        <w:pageBreakBefore w:val="0"/>
        <w:widowControl w:val="0"/>
        <w:kinsoku/>
        <w:wordWrap/>
        <w:overflowPunct/>
        <w:topLinePunct w:val="0"/>
        <w:bidi w:val="0"/>
        <w:adjustRightInd/>
        <w:snapToGrid/>
        <w:spacing w:line="360" w:lineRule="auto"/>
        <w:ind w:firstLine="422" w:firstLineChars="200"/>
        <w:jc w:val="both"/>
        <w:textAlignment w:val="auto"/>
        <w:rPr>
          <w:rFonts w:asciiTheme="minorEastAsia" w:hAnsiTheme="minorEastAsia" w:eastAsiaTheme="minorEastAsia"/>
          <w:spacing w:val="-10"/>
          <w:sz w:val="21"/>
          <w:szCs w:val="21"/>
        </w:rPr>
      </w:pPr>
      <w:bookmarkStart w:id="8" w:name="2、客户分析专员-DMP"/>
      <w:bookmarkEnd w:id="8"/>
      <w:r>
        <w:rPr>
          <w:rFonts w:hint="eastAsia" w:cs="宋体" w:asciiTheme="minorEastAsia" w:hAnsiTheme="minorEastAsia" w:eastAsiaTheme="minorEastAsia"/>
          <w:b/>
          <w:sz w:val="21"/>
          <w:szCs w:val="21"/>
        </w:rPr>
        <w:t>②</w:t>
      </w:r>
      <w:r>
        <w:rPr>
          <w:rFonts w:hint="eastAsia" w:asciiTheme="minorEastAsia" w:hAnsiTheme="minorEastAsia" w:eastAsiaTheme="minorEastAsia"/>
          <w:b/>
          <w:sz w:val="21"/>
          <w:szCs w:val="21"/>
        </w:rPr>
        <w:t>分析专员-BA：</w:t>
      </w:r>
      <w:r>
        <w:rPr>
          <w:rFonts w:hint="eastAsia" w:asciiTheme="minorEastAsia" w:hAnsiTheme="minorEastAsia" w:eastAsiaTheme="minorEastAsia"/>
          <w:spacing w:val="-10"/>
          <w:sz w:val="21"/>
          <w:szCs w:val="21"/>
        </w:rPr>
        <w:t>该岗位共设</w:t>
      </w:r>
      <w:r>
        <w:rPr>
          <w:rFonts w:hint="eastAsia" w:asciiTheme="minorEastAsia" w:hAnsiTheme="minorEastAsia" w:eastAsiaTheme="minorEastAsia"/>
          <w:spacing w:val="-10"/>
          <w:sz w:val="21"/>
          <w:szCs w:val="21"/>
          <w:lang w:val="en-US"/>
        </w:rPr>
        <w:t>2</w:t>
      </w:r>
      <w:r>
        <w:rPr>
          <w:rFonts w:hint="eastAsia" w:asciiTheme="minorEastAsia" w:hAnsiTheme="minorEastAsia" w:eastAsiaTheme="minorEastAsia"/>
          <w:spacing w:val="-10"/>
          <w:sz w:val="21"/>
          <w:szCs w:val="21"/>
        </w:rPr>
        <w:t xml:space="preserve">名参赛选手，每名选手试题满分 </w:t>
      </w:r>
      <w:r>
        <w:rPr>
          <w:rFonts w:hint="eastAsia" w:asciiTheme="minorEastAsia" w:hAnsiTheme="minorEastAsia" w:eastAsiaTheme="minorEastAsia"/>
          <w:sz w:val="21"/>
          <w:szCs w:val="21"/>
        </w:rPr>
        <w:t>100</w:t>
      </w:r>
      <w:r>
        <w:rPr>
          <w:rFonts w:hint="eastAsia" w:asciiTheme="minorEastAsia" w:hAnsiTheme="minorEastAsia" w:eastAsiaTheme="minorEastAsia"/>
          <w:spacing w:val="-41"/>
          <w:sz w:val="21"/>
          <w:szCs w:val="21"/>
        </w:rPr>
        <w:t xml:space="preserve"> 分，包含 </w:t>
      </w:r>
      <w:r>
        <w:rPr>
          <w:rFonts w:hint="eastAsia" w:asciiTheme="minorEastAsia" w:hAnsiTheme="minorEastAsia" w:eastAsiaTheme="minorEastAsia"/>
          <w:sz w:val="21"/>
          <w:szCs w:val="21"/>
        </w:rPr>
        <w:t>5</w:t>
      </w:r>
      <w:r>
        <w:rPr>
          <w:rFonts w:hint="eastAsia" w:asciiTheme="minorEastAsia" w:hAnsiTheme="minorEastAsia" w:eastAsiaTheme="minorEastAsia"/>
          <w:spacing w:val="-20"/>
          <w:sz w:val="21"/>
          <w:szCs w:val="21"/>
        </w:rPr>
        <w:t xml:space="preserve"> 项工作任务，每项工作任务 </w:t>
      </w:r>
      <w:r>
        <w:rPr>
          <w:rFonts w:hint="eastAsia" w:asciiTheme="minorEastAsia" w:hAnsiTheme="minorEastAsia" w:eastAsiaTheme="minorEastAsia"/>
          <w:sz w:val="21"/>
          <w:szCs w:val="21"/>
        </w:rPr>
        <w:t>20</w:t>
      </w:r>
      <w:r>
        <w:rPr>
          <w:rFonts w:hint="eastAsia" w:asciiTheme="minorEastAsia" w:hAnsiTheme="minorEastAsia" w:eastAsiaTheme="minorEastAsia"/>
          <w:spacing w:val="-26"/>
          <w:sz w:val="21"/>
          <w:szCs w:val="21"/>
        </w:rPr>
        <w:t xml:space="preserve"> 分。</w:t>
      </w:r>
      <w:r>
        <w:rPr>
          <w:rFonts w:hint="eastAsia" w:asciiTheme="minorEastAsia" w:hAnsiTheme="minorEastAsia" w:eastAsiaTheme="minorEastAsia"/>
          <w:spacing w:val="-10"/>
          <w:sz w:val="21"/>
          <w:szCs w:val="21"/>
        </w:rPr>
        <w:t>岗位任务</w:t>
      </w:r>
      <w:r>
        <w:rPr>
          <w:rFonts w:hint="eastAsia" w:asciiTheme="minorEastAsia" w:hAnsiTheme="minorEastAsia" w:eastAsiaTheme="minorEastAsia"/>
          <w:spacing w:val="-20"/>
          <w:sz w:val="21"/>
          <w:szCs w:val="21"/>
        </w:rPr>
        <w:t>涉</w:t>
      </w:r>
      <w:r>
        <w:rPr>
          <w:rFonts w:hint="eastAsia" w:asciiTheme="minorEastAsia" w:hAnsiTheme="minorEastAsia" w:eastAsiaTheme="minorEastAsia"/>
          <w:spacing w:val="-10"/>
          <w:sz w:val="21"/>
          <w:szCs w:val="21"/>
        </w:rPr>
        <w:t>及财务、运营、客户、行业分析，具体内容以最终竞赛题为准。</w:t>
      </w:r>
    </w:p>
    <w:p>
      <w:pPr>
        <w:pageBreakBefore w:val="0"/>
        <w:widowControl w:val="0"/>
        <w:kinsoku/>
        <w:wordWrap/>
        <w:overflowPunct/>
        <w:topLinePunct w:val="0"/>
        <w:bidi w:val="0"/>
        <w:adjustRightInd/>
        <w:snapToGrid/>
        <w:spacing w:line="360" w:lineRule="auto"/>
        <w:ind w:firstLine="422" w:firstLineChars="200"/>
        <w:textAlignment w:val="auto"/>
        <w:rPr>
          <w:rFonts w:asciiTheme="minorEastAsia" w:hAnsiTheme="minorEastAsia" w:eastAsiaTheme="minorEastAsia"/>
          <w:spacing w:val="-10"/>
          <w:sz w:val="21"/>
          <w:szCs w:val="21"/>
        </w:rPr>
      </w:pPr>
      <w:r>
        <w:rPr>
          <w:rFonts w:hint="eastAsia" w:asciiTheme="minorEastAsia" w:hAnsiTheme="minorEastAsia" w:eastAsiaTheme="minorEastAsia"/>
          <w:b/>
          <w:sz w:val="21"/>
          <w:szCs w:val="21"/>
          <w:lang w:val="en-US"/>
        </w:rPr>
        <w:t>③团队总分：</w:t>
      </w:r>
      <w:r>
        <w:rPr>
          <w:rFonts w:hint="eastAsia" w:asciiTheme="minorEastAsia" w:hAnsiTheme="minorEastAsia" w:eastAsiaTheme="minorEastAsia"/>
          <w:bCs/>
          <w:sz w:val="21"/>
          <w:szCs w:val="21"/>
          <w:lang w:val="en-US"/>
        </w:rPr>
        <w:t>4</w:t>
      </w:r>
      <w:r>
        <w:rPr>
          <w:rFonts w:hint="eastAsia" w:asciiTheme="minorEastAsia" w:hAnsiTheme="minorEastAsia" w:eastAsiaTheme="minorEastAsia"/>
          <w:spacing w:val="-10"/>
          <w:sz w:val="21"/>
          <w:szCs w:val="21"/>
          <w:lang w:val="en-US"/>
        </w:rPr>
        <w:t>名选手竞赛得分合计为团队成绩，总分400分，竞赛</w:t>
      </w:r>
      <w:r>
        <w:rPr>
          <w:rFonts w:hint="eastAsia" w:asciiTheme="minorEastAsia" w:hAnsiTheme="minorEastAsia" w:eastAsiaTheme="minorEastAsia"/>
          <w:spacing w:val="-10"/>
          <w:sz w:val="21"/>
          <w:szCs w:val="21"/>
        </w:rPr>
        <w:t>以团队总分判定最终排名。</w:t>
      </w:r>
    </w:p>
    <w:p>
      <w:pPr>
        <w:pageBreakBefore w:val="0"/>
        <w:widowControl w:val="0"/>
        <w:kinsoku/>
        <w:wordWrap/>
        <w:overflowPunct/>
        <w:topLinePunct w:val="0"/>
        <w:bidi w:val="0"/>
        <w:adjustRightInd/>
        <w:snapToGrid/>
        <w:spacing w:line="360" w:lineRule="auto"/>
        <w:ind w:firstLine="422" w:firstLineChars="200"/>
        <w:textAlignment w:val="auto"/>
        <w:outlineLvl w:val="1"/>
        <w:rPr>
          <w:rFonts w:asciiTheme="minorEastAsia" w:hAnsiTheme="minorEastAsia" w:eastAsiaTheme="minorEastAsia"/>
          <w:b/>
          <w:sz w:val="21"/>
          <w:szCs w:val="21"/>
        </w:rPr>
      </w:pPr>
      <w:bookmarkStart w:id="9" w:name="二、公共规则"/>
      <w:bookmarkEnd w:id="9"/>
      <w:bookmarkStart w:id="10" w:name="4、客户分析专员-BA"/>
      <w:bookmarkEnd w:id="10"/>
      <w:r>
        <w:rPr>
          <w:rFonts w:hint="eastAsia" w:asciiTheme="minorEastAsia" w:hAnsiTheme="minorEastAsia" w:eastAsiaTheme="minorEastAsia"/>
          <w:b/>
          <w:sz w:val="21"/>
          <w:szCs w:val="21"/>
          <w:lang w:val="en-US"/>
        </w:rPr>
        <w:t>（四）</w:t>
      </w:r>
      <w:r>
        <w:rPr>
          <w:rFonts w:hint="eastAsia" w:asciiTheme="minorEastAsia" w:hAnsiTheme="minorEastAsia" w:eastAsiaTheme="minorEastAsia"/>
          <w:b/>
          <w:sz w:val="21"/>
          <w:szCs w:val="21"/>
        </w:rPr>
        <w:t>评分规则</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bookmarkStart w:id="11" w:name="1、命名规则"/>
      <w:bookmarkEnd w:id="11"/>
      <w:r>
        <w:rPr>
          <w:rFonts w:hint="eastAsia" w:asciiTheme="minorEastAsia" w:hAnsiTheme="minorEastAsia" w:eastAsiaTheme="minorEastAsia"/>
          <w:b/>
          <w:sz w:val="21"/>
          <w:szCs w:val="21"/>
        </w:rPr>
        <w:t>（1）命名规则</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在进行路径建立时，考生需要对标题、代号、数据库表等进行命</w:t>
      </w:r>
      <w:r>
        <w:rPr>
          <w:rFonts w:hint="eastAsia" w:asciiTheme="minorEastAsia" w:hAnsiTheme="minorEastAsia" w:eastAsiaTheme="minorEastAsia"/>
          <w:spacing w:val="-6"/>
          <w:sz w:val="21"/>
          <w:szCs w:val="21"/>
        </w:rPr>
        <w:t>名，需按以下规则命名，未按规定命名不得分，且影响后续题目得分。</w:t>
      </w:r>
    </w:p>
    <w:p>
      <w:pPr>
        <w:pageBreakBefore w:val="0"/>
        <w:widowControl w:val="0"/>
        <w:kinsoku/>
        <w:wordWrap/>
        <w:overflowPunct/>
        <w:topLinePunct w:val="0"/>
        <w:bidi w:val="0"/>
        <w:adjustRightInd/>
        <w:snapToGrid/>
        <w:spacing w:line="360" w:lineRule="auto"/>
        <w:ind w:firstLine="422" w:firstLineChars="200"/>
        <w:textAlignment w:val="auto"/>
        <w:outlineLvl w:val="3"/>
        <w:rPr>
          <w:rFonts w:asciiTheme="minorEastAsia" w:hAnsiTheme="minorEastAsia" w:eastAsiaTheme="minorEastAsia"/>
          <w:b/>
          <w:sz w:val="21"/>
          <w:szCs w:val="21"/>
        </w:rPr>
      </w:pPr>
      <w:bookmarkStart w:id="12" w:name="1.1创建表命名规则"/>
      <w:bookmarkEnd w:id="12"/>
      <w:r>
        <w:rPr>
          <w:rFonts w:hint="eastAsia" w:asciiTheme="minorEastAsia" w:hAnsiTheme="minorEastAsia" w:eastAsiaTheme="minorEastAsia"/>
          <w:b/>
          <w:sz w:val="21"/>
          <w:szCs w:val="21"/>
        </w:rPr>
        <w:t>①创建表命名规则</w:t>
      </w:r>
    </w:p>
    <w:p>
      <w:pPr>
        <w:pageBreakBefore w:val="0"/>
        <w:widowControl w:val="0"/>
        <w:kinsoku/>
        <w:wordWrap/>
        <w:overflowPunct/>
        <w:topLinePunct w:val="0"/>
        <w:bidi w:val="0"/>
        <w:adjustRightInd/>
        <w:snapToGrid/>
        <w:spacing w:line="360" w:lineRule="auto"/>
        <w:ind w:firstLine="420" w:firstLineChars="200"/>
        <w:jc w:val="both"/>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“标题/简称”的命名规则为“考号+名称”，“代号”的命名规则为“考号+首字母缩写”，“数据库表”的命名规则为“考号+首字母缩写_分层名称”。</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以下题为例：</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在 DMP“数据加工厂_设计区_工厂分层_ODS 操作数据”路径下创建主</w:t>
      </w:r>
      <w:r>
        <w:rPr>
          <w:rFonts w:hint="eastAsia" w:asciiTheme="minorEastAsia" w:hAnsiTheme="minorEastAsia" w:eastAsiaTheme="minorEastAsia"/>
          <w:spacing w:val="-8"/>
          <w:sz w:val="21"/>
          <w:szCs w:val="21"/>
        </w:rPr>
        <w:t>题域、主题及数据模型， 通过“创建自定义模型（全部字段需要手动定义）”方式创建。</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33"/>
        <w:gridCol w:w="2792"/>
        <w:gridCol w:w="1958"/>
        <w:gridCol w:w="19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jc w:val="center"/>
        </w:trPr>
        <w:tc>
          <w:tcPr>
            <w:tcW w:w="173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路径</w:t>
            </w:r>
          </w:p>
        </w:tc>
        <w:tc>
          <w:tcPr>
            <w:tcW w:w="2792"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标题/简称</w:t>
            </w:r>
          </w:p>
        </w:tc>
        <w:tc>
          <w:tcPr>
            <w:tcW w:w="1958"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数据源连接</w:t>
            </w:r>
          </w:p>
        </w:tc>
        <w:tc>
          <w:tcPr>
            <w:tcW w:w="19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jc w:val="center"/>
        </w:trPr>
        <w:tc>
          <w:tcPr>
            <w:tcW w:w="173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主题域</w:t>
            </w:r>
          </w:p>
        </w:tc>
        <w:tc>
          <w:tcPr>
            <w:tcW w:w="2792"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财务</w:t>
            </w:r>
          </w:p>
        </w:tc>
        <w:tc>
          <w:tcPr>
            <w:tcW w:w="1958"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默认数据源连接</w:t>
            </w:r>
          </w:p>
        </w:tc>
        <w:tc>
          <w:tcPr>
            <w:tcW w:w="19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不填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jc w:val="center"/>
        </w:trPr>
        <w:tc>
          <w:tcPr>
            <w:tcW w:w="173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主题</w:t>
            </w:r>
          </w:p>
        </w:tc>
        <w:tc>
          <w:tcPr>
            <w:tcW w:w="2792"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现金流量</w:t>
            </w:r>
          </w:p>
        </w:tc>
        <w:tc>
          <w:tcPr>
            <w:tcW w:w="1958"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默认数据源连接</w:t>
            </w:r>
          </w:p>
        </w:tc>
        <w:tc>
          <w:tcPr>
            <w:tcW w:w="19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不填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jc w:val="center"/>
        </w:trPr>
        <w:tc>
          <w:tcPr>
            <w:tcW w:w="173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模型管理</w:t>
            </w:r>
          </w:p>
        </w:tc>
        <w:tc>
          <w:tcPr>
            <w:tcW w:w="2792"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现金流量简表</w:t>
            </w:r>
          </w:p>
        </w:tc>
        <w:tc>
          <w:tcPr>
            <w:tcW w:w="1958"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w w:val="99"/>
                <w:sz w:val="18"/>
                <w:szCs w:val="18"/>
              </w:rPr>
              <w:t>/</w:t>
            </w:r>
          </w:p>
        </w:tc>
        <w:tc>
          <w:tcPr>
            <w:tcW w:w="19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不填</w:t>
            </w:r>
          </w:p>
        </w:tc>
      </w:tr>
    </w:tbl>
    <w:p>
      <w:pPr>
        <w:pageBreakBefore w:val="0"/>
        <w:widowControl w:val="0"/>
        <w:kinsoku/>
        <w:wordWrap/>
        <w:overflowPunct/>
        <w:topLinePunct w:val="0"/>
        <w:bidi w:val="0"/>
        <w:adjustRightInd/>
        <w:snapToGrid/>
        <w:spacing w:line="360" w:lineRule="auto"/>
        <w:ind w:firstLine="420" w:firstLineChars="200"/>
        <w:textAlignment w:val="auto"/>
        <w:rPr>
          <w:rFonts w:hint="eastAsia" w:asciiTheme="minorEastAsia" w:hAnsiTheme="minorEastAsia" w:eastAsiaTheme="minorEastAsia"/>
          <w:sz w:val="21"/>
          <w:szCs w:val="21"/>
        </w:rPr>
      </w:pP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如考生考号为KS011，则上述路径实际命名如下：</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7"/>
        <w:gridCol w:w="1944"/>
        <w:gridCol w:w="1561"/>
        <w:gridCol w:w="1254"/>
        <w:gridCol w:w="893"/>
        <w:gridCol w:w="17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 w:hRule="atLeast"/>
          <w:jc w:val="center"/>
        </w:trPr>
        <w:tc>
          <w:tcPr>
            <w:tcW w:w="1067"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路径</w:t>
            </w:r>
          </w:p>
        </w:tc>
        <w:tc>
          <w:tcPr>
            <w:tcW w:w="1944"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标题/简称</w:t>
            </w:r>
          </w:p>
        </w:tc>
        <w:tc>
          <w:tcPr>
            <w:tcW w:w="156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代号</w:t>
            </w:r>
          </w:p>
        </w:tc>
        <w:tc>
          <w:tcPr>
            <w:tcW w:w="1254"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数据源连接</w:t>
            </w:r>
          </w:p>
        </w:tc>
        <w:tc>
          <w:tcPr>
            <w:tcW w:w="89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描述</w:t>
            </w:r>
          </w:p>
        </w:tc>
        <w:tc>
          <w:tcPr>
            <w:tcW w:w="1779"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数据库表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7" w:hRule="atLeast"/>
          <w:jc w:val="center"/>
        </w:trPr>
        <w:tc>
          <w:tcPr>
            <w:tcW w:w="1067"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主题域</w:t>
            </w:r>
          </w:p>
        </w:tc>
        <w:tc>
          <w:tcPr>
            <w:tcW w:w="1944"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 财务</w:t>
            </w:r>
          </w:p>
        </w:tc>
        <w:tc>
          <w:tcPr>
            <w:tcW w:w="156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KS011CW</w:t>
            </w:r>
          </w:p>
        </w:tc>
        <w:tc>
          <w:tcPr>
            <w:tcW w:w="1254"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默认数据源连接</w:t>
            </w:r>
          </w:p>
        </w:tc>
        <w:tc>
          <w:tcPr>
            <w:tcW w:w="89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不填</w:t>
            </w:r>
          </w:p>
        </w:tc>
        <w:tc>
          <w:tcPr>
            <w:tcW w:w="1779"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w w:val="99"/>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7" w:hRule="atLeast"/>
          <w:jc w:val="center"/>
        </w:trPr>
        <w:tc>
          <w:tcPr>
            <w:tcW w:w="1067"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主题</w:t>
            </w:r>
          </w:p>
        </w:tc>
        <w:tc>
          <w:tcPr>
            <w:tcW w:w="1944"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 现金流量</w:t>
            </w:r>
          </w:p>
        </w:tc>
        <w:tc>
          <w:tcPr>
            <w:tcW w:w="156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KS011XJLL</w:t>
            </w:r>
          </w:p>
        </w:tc>
        <w:tc>
          <w:tcPr>
            <w:tcW w:w="1254"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默认数据源连接</w:t>
            </w:r>
          </w:p>
        </w:tc>
        <w:tc>
          <w:tcPr>
            <w:tcW w:w="89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不填</w:t>
            </w:r>
          </w:p>
        </w:tc>
        <w:tc>
          <w:tcPr>
            <w:tcW w:w="1779"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w w:val="99"/>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jc w:val="center"/>
        </w:trPr>
        <w:tc>
          <w:tcPr>
            <w:tcW w:w="1067"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模型管理</w:t>
            </w:r>
          </w:p>
        </w:tc>
        <w:tc>
          <w:tcPr>
            <w:tcW w:w="1944"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 现金流量</w:t>
            </w:r>
          </w:p>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简</w:t>
            </w:r>
            <w:r>
              <w:rPr>
                <w:rFonts w:hint="eastAsia" w:asciiTheme="minorEastAsia" w:hAnsiTheme="minorEastAsia" w:eastAsiaTheme="minorEastAsia"/>
                <w:w w:val="99"/>
                <w:sz w:val="18"/>
                <w:szCs w:val="18"/>
              </w:rPr>
              <w:t>表</w:t>
            </w:r>
          </w:p>
        </w:tc>
        <w:tc>
          <w:tcPr>
            <w:tcW w:w="156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KS011XJLLJB</w:t>
            </w:r>
          </w:p>
        </w:tc>
        <w:tc>
          <w:tcPr>
            <w:tcW w:w="1254"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w w:val="99"/>
                <w:sz w:val="18"/>
                <w:szCs w:val="18"/>
              </w:rPr>
              <w:t>/</w:t>
            </w:r>
          </w:p>
        </w:tc>
        <w:tc>
          <w:tcPr>
            <w:tcW w:w="89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不填</w:t>
            </w:r>
          </w:p>
        </w:tc>
        <w:tc>
          <w:tcPr>
            <w:tcW w:w="1779"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KS011XJLLJB_ODS</w:t>
            </w:r>
          </w:p>
        </w:tc>
      </w:tr>
    </w:tbl>
    <w:p>
      <w:pPr>
        <w:pageBreakBefore w:val="0"/>
        <w:widowControl w:val="0"/>
        <w:kinsoku/>
        <w:wordWrap/>
        <w:overflowPunct/>
        <w:topLinePunct w:val="0"/>
        <w:bidi w:val="0"/>
        <w:adjustRightInd/>
        <w:snapToGrid/>
        <w:spacing w:line="360" w:lineRule="auto"/>
        <w:ind w:firstLine="422" w:firstLineChars="200"/>
        <w:textAlignment w:val="auto"/>
        <w:outlineLvl w:val="3"/>
        <w:rPr>
          <w:rFonts w:hint="eastAsia" w:asciiTheme="minorEastAsia" w:hAnsiTheme="minorEastAsia" w:eastAsiaTheme="minorEastAsia"/>
          <w:b/>
          <w:sz w:val="21"/>
          <w:szCs w:val="21"/>
        </w:rPr>
      </w:pPr>
      <w:bookmarkStart w:id="13" w:name="1.2数据转换命名规则"/>
      <w:bookmarkEnd w:id="13"/>
    </w:p>
    <w:p>
      <w:pPr>
        <w:pageBreakBefore w:val="0"/>
        <w:widowControl w:val="0"/>
        <w:kinsoku/>
        <w:wordWrap/>
        <w:overflowPunct/>
        <w:topLinePunct w:val="0"/>
        <w:bidi w:val="0"/>
        <w:adjustRightInd/>
        <w:snapToGrid/>
        <w:spacing w:line="360" w:lineRule="auto"/>
        <w:ind w:firstLine="422" w:firstLineChars="200"/>
        <w:textAlignment w:val="auto"/>
        <w:outlineLvl w:val="3"/>
        <w:rPr>
          <w:rFonts w:asciiTheme="minorEastAsia" w:hAnsiTheme="minorEastAsia" w:eastAsiaTheme="minorEastAsia"/>
          <w:b/>
          <w:sz w:val="21"/>
          <w:szCs w:val="21"/>
        </w:rPr>
      </w:pPr>
      <w:r>
        <w:rPr>
          <w:rFonts w:hint="eastAsia" w:asciiTheme="minorEastAsia" w:hAnsiTheme="minorEastAsia" w:eastAsiaTheme="minorEastAsia"/>
          <w:b/>
          <w:sz w:val="21"/>
          <w:szCs w:val="21"/>
        </w:rPr>
        <w:t>②数据转换命名规则</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“转换标题”的命名规则为“考号+名称+ETL”，“转换代号”的命名规则为“考号+首字母缩写+ETL”。以下题为例：</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25"/>
        <w:gridCol w:w="56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jc w:val="center"/>
        </w:trPr>
        <w:tc>
          <w:tcPr>
            <w:tcW w:w="222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路径</w:t>
            </w:r>
          </w:p>
        </w:tc>
        <w:tc>
          <w:tcPr>
            <w:tcW w:w="5614"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转换标题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jc w:val="center"/>
        </w:trPr>
        <w:tc>
          <w:tcPr>
            <w:tcW w:w="222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ETL 转换</w:t>
            </w:r>
          </w:p>
        </w:tc>
        <w:tc>
          <w:tcPr>
            <w:tcW w:w="5614"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客户年龄维表ETL</w:t>
            </w:r>
          </w:p>
        </w:tc>
      </w:tr>
    </w:tbl>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如考生考号为KS011，则上述路径实际命名如下：</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9"/>
        <w:gridCol w:w="2983"/>
        <w:gridCol w:w="1901"/>
        <w:gridCol w:w="20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jc w:val="center"/>
        </w:trPr>
        <w:tc>
          <w:tcPr>
            <w:tcW w:w="1079"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路径</w:t>
            </w:r>
          </w:p>
        </w:tc>
        <w:tc>
          <w:tcPr>
            <w:tcW w:w="298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转换标题</w:t>
            </w:r>
          </w:p>
        </w:tc>
        <w:tc>
          <w:tcPr>
            <w:tcW w:w="190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转换代号</w:t>
            </w:r>
          </w:p>
        </w:tc>
        <w:tc>
          <w:tcPr>
            <w:tcW w:w="20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jc w:val="center"/>
        </w:trPr>
        <w:tc>
          <w:tcPr>
            <w:tcW w:w="1079"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ETL 转换</w:t>
            </w:r>
          </w:p>
        </w:tc>
        <w:tc>
          <w:tcPr>
            <w:tcW w:w="298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 客户年龄维表ETL</w:t>
            </w:r>
          </w:p>
        </w:tc>
        <w:tc>
          <w:tcPr>
            <w:tcW w:w="190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KS011KHNLWBETL</w:t>
            </w:r>
          </w:p>
        </w:tc>
        <w:tc>
          <w:tcPr>
            <w:tcW w:w="20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r>
    </w:tbl>
    <w:p>
      <w:pPr>
        <w:pageBreakBefore w:val="0"/>
        <w:widowControl w:val="0"/>
        <w:kinsoku/>
        <w:wordWrap/>
        <w:overflowPunct/>
        <w:topLinePunct w:val="0"/>
        <w:bidi w:val="0"/>
        <w:adjustRightInd/>
        <w:snapToGrid/>
        <w:spacing w:line="360" w:lineRule="auto"/>
        <w:ind w:firstLine="422" w:firstLineChars="200"/>
        <w:textAlignment w:val="auto"/>
        <w:outlineLvl w:val="3"/>
        <w:rPr>
          <w:rFonts w:hint="eastAsia" w:cs="宋体" w:asciiTheme="minorEastAsia" w:hAnsiTheme="minorEastAsia" w:eastAsiaTheme="minorEastAsia"/>
          <w:b/>
          <w:sz w:val="21"/>
          <w:szCs w:val="21"/>
        </w:rPr>
      </w:pPr>
      <w:bookmarkStart w:id="14" w:name="1.3数据集定义命名规则"/>
      <w:bookmarkEnd w:id="14"/>
    </w:p>
    <w:p>
      <w:pPr>
        <w:pageBreakBefore w:val="0"/>
        <w:widowControl w:val="0"/>
        <w:kinsoku/>
        <w:wordWrap/>
        <w:overflowPunct/>
        <w:topLinePunct w:val="0"/>
        <w:bidi w:val="0"/>
        <w:adjustRightInd/>
        <w:snapToGrid/>
        <w:spacing w:line="360" w:lineRule="auto"/>
        <w:ind w:firstLine="422" w:firstLineChars="200"/>
        <w:textAlignment w:val="auto"/>
        <w:outlineLvl w:val="3"/>
        <w:rPr>
          <w:rFonts w:asciiTheme="minorEastAsia" w:hAnsiTheme="minorEastAsia" w:eastAsiaTheme="minorEastAsia"/>
          <w:b/>
          <w:sz w:val="21"/>
          <w:szCs w:val="21"/>
        </w:rPr>
      </w:pPr>
      <w:r>
        <w:rPr>
          <w:rFonts w:hint="eastAsia" w:cs="宋体" w:asciiTheme="minorEastAsia" w:hAnsiTheme="minorEastAsia" w:eastAsiaTheme="minorEastAsia"/>
          <w:b/>
          <w:sz w:val="21"/>
          <w:szCs w:val="21"/>
        </w:rPr>
        <w:t>③</w:t>
      </w:r>
      <w:r>
        <w:rPr>
          <w:rFonts w:hint="eastAsia" w:asciiTheme="minorEastAsia" w:hAnsiTheme="minorEastAsia" w:eastAsiaTheme="minorEastAsia"/>
          <w:b/>
          <w:sz w:val="21"/>
          <w:szCs w:val="21"/>
        </w:rPr>
        <w:t>数据集定义命名规则</w:t>
      </w:r>
    </w:p>
    <w:p>
      <w:pPr>
        <w:pageBreakBefore w:val="0"/>
        <w:widowControl w:val="0"/>
        <w:kinsoku/>
        <w:wordWrap/>
        <w:overflowPunct/>
        <w:topLinePunct w:val="0"/>
        <w:bidi w:val="0"/>
        <w:adjustRightInd/>
        <w:snapToGrid/>
        <w:spacing w:line="360" w:lineRule="auto"/>
        <w:ind w:firstLine="336" w:firstLineChars="200"/>
        <w:textAlignment w:val="auto"/>
        <w:rPr>
          <w:rFonts w:asciiTheme="minorEastAsia" w:hAnsiTheme="minorEastAsia" w:eastAsiaTheme="minorEastAsia"/>
          <w:sz w:val="21"/>
          <w:szCs w:val="21"/>
        </w:rPr>
      </w:pPr>
      <w:r>
        <w:rPr>
          <w:rFonts w:hint="eastAsia" w:asciiTheme="minorEastAsia" w:hAnsiTheme="minorEastAsia" w:eastAsiaTheme="minorEastAsia"/>
          <w:spacing w:val="-21"/>
          <w:sz w:val="21"/>
          <w:szCs w:val="21"/>
        </w:rPr>
        <w:t>“名称”的命名规则为“考号+名称，”“编号”的命名规则为“考</w:t>
      </w:r>
      <w:r>
        <w:rPr>
          <w:rFonts w:hint="eastAsia" w:asciiTheme="minorEastAsia" w:hAnsiTheme="minorEastAsia" w:eastAsiaTheme="minorEastAsia"/>
          <w:sz w:val="21"/>
          <w:szCs w:val="21"/>
        </w:rPr>
        <w:t>号+首字母缩写”。以下题为例：</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在“商务智能—仪表盘”模块选择“数据集定义”，完成下列路径要求的建立。</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
        <w:gridCol w:w="2125"/>
        <w:gridCol w:w="16"/>
        <w:gridCol w:w="6175"/>
        <w:gridCol w:w="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6" w:type="dxa"/>
          <w:trHeight w:val="424" w:hRule="atLeast"/>
          <w:jc w:val="center"/>
        </w:trPr>
        <w:tc>
          <w:tcPr>
            <w:tcW w:w="2141" w:type="dxa"/>
            <w:gridSpan w:val="2"/>
            <w:shd w:val="clear" w:color="auto" w:fill="D7D7D7"/>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路径</w:t>
            </w:r>
          </w:p>
        </w:tc>
        <w:tc>
          <w:tcPr>
            <w:tcW w:w="6191" w:type="dxa"/>
            <w:gridSpan w:val="2"/>
            <w:shd w:val="clear" w:color="auto" w:fill="D7D7D7"/>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6" w:type="dxa"/>
          <w:trHeight w:val="424" w:hRule="atLeast"/>
          <w:jc w:val="center"/>
        </w:trPr>
        <w:tc>
          <w:tcPr>
            <w:tcW w:w="2141" w:type="dxa"/>
            <w:gridSpan w:val="2"/>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系统</w:t>
            </w:r>
          </w:p>
        </w:tc>
        <w:tc>
          <w:tcPr>
            <w:tcW w:w="6191" w:type="dxa"/>
            <w:gridSpan w:val="2"/>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商务大数据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wBefore w:w="16" w:type="dxa"/>
          <w:trHeight w:val="423" w:hRule="atLeast"/>
          <w:jc w:val="center"/>
        </w:trPr>
        <w:tc>
          <w:tcPr>
            <w:tcW w:w="2141" w:type="dxa"/>
            <w:gridSpan w:val="2"/>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模块</w:t>
            </w:r>
          </w:p>
        </w:tc>
        <w:tc>
          <w:tcPr>
            <w:tcW w:w="6191" w:type="dxa"/>
            <w:gridSpan w:val="2"/>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运营分析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6" w:type="dxa"/>
          <w:trHeight w:val="424" w:hRule="atLeast"/>
          <w:jc w:val="center"/>
        </w:trPr>
        <w:tc>
          <w:tcPr>
            <w:tcW w:w="2141" w:type="dxa"/>
            <w:gridSpan w:val="2"/>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分组</w:t>
            </w:r>
          </w:p>
        </w:tc>
        <w:tc>
          <w:tcPr>
            <w:tcW w:w="6191" w:type="dxa"/>
            <w:gridSpan w:val="2"/>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双十一销售动态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6" w:type="dxa"/>
          <w:trHeight w:val="424" w:hRule="atLeast"/>
          <w:jc w:val="center"/>
        </w:trPr>
        <w:tc>
          <w:tcPr>
            <w:tcW w:w="2141" w:type="dxa"/>
            <w:gridSpan w:val="2"/>
            <w:vMerge w:val="restart"/>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数据集</w:t>
            </w:r>
          </w:p>
        </w:tc>
        <w:tc>
          <w:tcPr>
            <w:tcW w:w="6191" w:type="dxa"/>
            <w:gridSpan w:val="2"/>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双十一销售实时数据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6" w:type="dxa"/>
          <w:trHeight w:val="424" w:hRule="atLeast"/>
          <w:jc w:val="center"/>
        </w:trPr>
        <w:tc>
          <w:tcPr>
            <w:tcW w:w="2141" w:type="dxa"/>
            <w:gridSpan w:val="2"/>
            <w:vMerge w:val="continue"/>
            <w:tcBorders>
              <w:top w:val="nil"/>
            </w:tcBorders>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tc>
        <w:tc>
          <w:tcPr>
            <w:tcW w:w="6191" w:type="dxa"/>
            <w:gridSpan w:val="2"/>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双十一分时段销售数据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6" w:type="dxa"/>
          <w:trHeight w:val="433" w:hRule="atLeast"/>
          <w:jc w:val="center"/>
        </w:trPr>
        <w:tc>
          <w:tcPr>
            <w:tcW w:w="2141" w:type="dxa"/>
            <w:gridSpan w:val="2"/>
            <w:vMerge w:val="continue"/>
            <w:tcBorders>
              <w:top w:val="nil"/>
            </w:tcBorders>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tc>
        <w:tc>
          <w:tcPr>
            <w:tcW w:w="6191" w:type="dxa"/>
            <w:gridSpan w:val="2"/>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双十一各品牌销售占比</w:t>
            </w:r>
          </w:p>
        </w:tc>
      </w:tr>
    </w:tbl>
    <w:p>
      <w:pPr>
        <w:pageBreakBefore w:val="0"/>
        <w:widowControl w:val="0"/>
        <w:kinsoku/>
        <w:wordWrap/>
        <w:overflowPunct/>
        <w:topLinePunct w:val="0"/>
        <w:bidi w:val="0"/>
        <w:adjustRightInd/>
        <w:snapToGrid/>
        <w:spacing w:line="360" w:lineRule="auto"/>
        <w:ind w:firstLine="420" w:firstLineChars="200"/>
        <w:textAlignment w:val="auto"/>
        <w:rPr>
          <w:rFonts w:hint="eastAsia" w:asciiTheme="minorEastAsia" w:hAnsiTheme="minorEastAsia" w:eastAsiaTheme="minorEastAsia"/>
          <w:sz w:val="21"/>
          <w:szCs w:val="21"/>
        </w:rPr>
      </w:pP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如考生考号为KS011，则上述路径实际命名如下：</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在“商务智能—仪表盘”模块选择“数据集定义”，完成下列路径要求的建立。</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6"/>
        <w:gridCol w:w="2835"/>
        <w:gridCol w:w="3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696" w:type="dxa"/>
            <w:shd w:val="clear" w:color="auto" w:fill="D7D7D7"/>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路径</w:t>
            </w:r>
          </w:p>
        </w:tc>
        <w:tc>
          <w:tcPr>
            <w:tcW w:w="2835" w:type="dxa"/>
            <w:shd w:val="clear" w:color="auto" w:fill="D7D7D7"/>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编号</w:t>
            </w:r>
          </w:p>
        </w:tc>
        <w:tc>
          <w:tcPr>
            <w:tcW w:w="3828" w:type="dxa"/>
            <w:shd w:val="clear" w:color="auto" w:fill="D7D7D7"/>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jc w:val="center"/>
        </w:trPr>
        <w:tc>
          <w:tcPr>
            <w:tcW w:w="1696"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系统</w:t>
            </w:r>
          </w:p>
        </w:tc>
        <w:tc>
          <w:tcPr>
            <w:tcW w:w="28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KS011BBD</w:t>
            </w:r>
          </w:p>
        </w:tc>
        <w:tc>
          <w:tcPr>
            <w:tcW w:w="3828"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 商务大数据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696"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模块</w:t>
            </w:r>
          </w:p>
        </w:tc>
        <w:tc>
          <w:tcPr>
            <w:tcW w:w="28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KS011YYFX</w:t>
            </w:r>
          </w:p>
        </w:tc>
        <w:tc>
          <w:tcPr>
            <w:tcW w:w="3828"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 运营分析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696"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分组</w:t>
            </w:r>
          </w:p>
        </w:tc>
        <w:tc>
          <w:tcPr>
            <w:tcW w:w="28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KS011SSYXSDT</w:t>
            </w:r>
          </w:p>
        </w:tc>
        <w:tc>
          <w:tcPr>
            <w:tcW w:w="3828"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 双十一销售动态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jc w:val="center"/>
        </w:trPr>
        <w:tc>
          <w:tcPr>
            <w:tcW w:w="1696" w:type="dxa"/>
            <w:vMerge w:val="restart"/>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数据集</w:t>
            </w:r>
          </w:p>
        </w:tc>
        <w:tc>
          <w:tcPr>
            <w:tcW w:w="28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KS011SSYXSSSSJ</w:t>
            </w:r>
          </w:p>
        </w:tc>
        <w:tc>
          <w:tcPr>
            <w:tcW w:w="3828"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 双十一销售实时数据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696" w:type="dxa"/>
            <w:vMerge w:val="continue"/>
            <w:tcBorders>
              <w:top w:val="nil"/>
            </w:tcBorders>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tc>
        <w:tc>
          <w:tcPr>
            <w:tcW w:w="28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KS011SSYFSDXSSJ</w:t>
            </w:r>
          </w:p>
        </w:tc>
        <w:tc>
          <w:tcPr>
            <w:tcW w:w="3828"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 双十一分时段销售数据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jc w:val="center"/>
        </w:trPr>
        <w:tc>
          <w:tcPr>
            <w:tcW w:w="1696" w:type="dxa"/>
            <w:vMerge w:val="continue"/>
            <w:tcBorders>
              <w:top w:val="nil"/>
            </w:tcBorders>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tc>
        <w:tc>
          <w:tcPr>
            <w:tcW w:w="2835"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KS011SSYGPPXSZB</w:t>
            </w:r>
          </w:p>
        </w:tc>
        <w:tc>
          <w:tcPr>
            <w:tcW w:w="3828"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KS011 双十一各品牌销售占比</w:t>
            </w:r>
          </w:p>
        </w:tc>
      </w:tr>
    </w:tbl>
    <w:p>
      <w:pPr>
        <w:pageBreakBefore w:val="0"/>
        <w:widowControl w:val="0"/>
        <w:kinsoku/>
        <w:wordWrap/>
        <w:overflowPunct/>
        <w:topLinePunct w:val="0"/>
        <w:bidi w:val="0"/>
        <w:adjustRightInd/>
        <w:snapToGrid/>
        <w:spacing w:line="360" w:lineRule="auto"/>
        <w:ind w:firstLine="422" w:firstLineChars="200"/>
        <w:textAlignment w:val="auto"/>
        <w:outlineLvl w:val="2"/>
        <w:rPr>
          <w:rFonts w:hint="eastAsia" w:asciiTheme="minorEastAsia" w:hAnsiTheme="minorEastAsia" w:eastAsiaTheme="minorEastAsia"/>
          <w:b/>
          <w:sz w:val="21"/>
          <w:szCs w:val="21"/>
        </w:rPr>
      </w:pPr>
      <w:bookmarkStart w:id="15" w:name="2、无需操作步骤不体现原则"/>
      <w:bookmarkEnd w:id="15"/>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r>
        <w:rPr>
          <w:rFonts w:hint="eastAsia" w:asciiTheme="minorEastAsia" w:hAnsiTheme="minorEastAsia" w:eastAsiaTheme="minorEastAsia"/>
          <w:b/>
          <w:sz w:val="21"/>
          <w:szCs w:val="21"/>
        </w:rPr>
        <w:t>（</w:t>
      </w:r>
      <w:r>
        <w:rPr>
          <w:rFonts w:hint="eastAsia" w:asciiTheme="minorEastAsia" w:hAnsiTheme="minorEastAsia" w:eastAsiaTheme="minorEastAsia"/>
          <w:b/>
          <w:sz w:val="21"/>
          <w:szCs w:val="21"/>
          <w:lang w:val="en-US"/>
        </w:rPr>
        <w:t>2</w:t>
      </w:r>
      <w:r>
        <w:rPr>
          <w:rFonts w:hint="eastAsia" w:asciiTheme="minorEastAsia" w:hAnsiTheme="minorEastAsia" w:eastAsiaTheme="minorEastAsia"/>
          <w:b/>
          <w:sz w:val="21"/>
          <w:szCs w:val="21"/>
        </w:rPr>
        <w:t>）无需操作步骤不体现原则</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由于DMP 及BA 工具可操作模块较多，在命题过程中，无需进行操作的步骤不进行描述，考生仅需针对题目所列项进行操作，未列项目保持原始状态，无需另行操作，多余操作不得分，且影响后续题目得分。</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bookmarkStart w:id="16" w:name="3、组件要求使用方式"/>
      <w:bookmarkEnd w:id="16"/>
      <w:r>
        <w:rPr>
          <w:rFonts w:hint="eastAsia" w:asciiTheme="minorEastAsia" w:hAnsiTheme="minorEastAsia" w:eastAsiaTheme="minorEastAsia"/>
          <w:b/>
          <w:sz w:val="21"/>
          <w:szCs w:val="21"/>
        </w:rPr>
        <w:t>（</w:t>
      </w:r>
      <w:r>
        <w:rPr>
          <w:rFonts w:hint="eastAsia" w:asciiTheme="minorEastAsia" w:hAnsiTheme="minorEastAsia" w:eastAsiaTheme="minorEastAsia"/>
          <w:b/>
          <w:sz w:val="21"/>
          <w:szCs w:val="21"/>
          <w:lang w:val="en-US"/>
        </w:rPr>
        <w:t>3</w:t>
      </w:r>
      <w:r>
        <w:rPr>
          <w:rFonts w:hint="eastAsia" w:asciiTheme="minorEastAsia" w:hAnsiTheme="minorEastAsia" w:eastAsiaTheme="minorEastAsia"/>
          <w:b/>
          <w:sz w:val="21"/>
          <w:szCs w:val="21"/>
        </w:rPr>
        <w:t>）组件要求使用方式</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①连接组件：默认使用左连接，其余连接方式不得分。</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②排序组件：默认使用升序，大小写不敏感，排序字段为各数据表中的公共字段，其他排序方式不得分。</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cs="宋体" w:asciiTheme="minorEastAsia" w:hAnsiTheme="minorEastAsia" w:eastAsiaTheme="minorEastAsia"/>
          <w:sz w:val="21"/>
          <w:szCs w:val="21"/>
        </w:rPr>
        <w:t>③</w:t>
      </w:r>
      <w:r>
        <w:rPr>
          <w:rFonts w:hint="eastAsia" w:asciiTheme="minorEastAsia" w:hAnsiTheme="minorEastAsia" w:eastAsiaTheme="minorEastAsia"/>
          <w:sz w:val="21"/>
          <w:szCs w:val="21"/>
        </w:rPr>
        <w:t>分组组件：聚合别名默认为字段名首字母缩写（使用大写字母），其他命名方式不得分。</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④需要进行数据过滤时，使用“表输入组件”里的“过滤条件”进行过滤，使用其他方式不得分。</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⑤如试题出现新组件，将在竞竞赛题“公共规则”部分中给出使用规范，需按使用规范操作，其他操作不得分。</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bookmarkStart w:id="17" w:name="4、路径建立"/>
      <w:bookmarkEnd w:id="17"/>
      <w:r>
        <w:rPr>
          <w:rFonts w:hint="eastAsia" w:asciiTheme="minorEastAsia" w:hAnsiTheme="minorEastAsia" w:eastAsiaTheme="minorEastAsia"/>
          <w:b/>
          <w:sz w:val="21"/>
          <w:szCs w:val="21"/>
        </w:rPr>
        <w:t>（</w:t>
      </w:r>
      <w:r>
        <w:rPr>
          <w:rFonts w:hint="eastAsia" w:asciiTheme="minorEastAsia" w:hAnsiTheme="minorEastAsia" w:eastAsiaTheme="minorEastAsia"/>
          <w:b/>
          <w:sz w:val="21"/>
          <w:szCs w:val="21"/>
          <w:lang w:val="en-US"/>
        </w:rPr>
        <w:t>4</w:t>
      </w:r>
      <w:r>
        <w:rPr>
          <w:rFonts w:hint="eastAsia" w:asciiTheme="minorEastAsia" w:hAnsiTheme="minorEastAsia" w:eastAsiaTheme="minorEastAsia"/>
          <w:b/>
          <w:sz w:val="21"/>
          <w:szCs w:val="21"/>
        </w:rPr>
        <w:t>）路径建立</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在DMP 工具中建立路径时，维表均归属于主题中，不得在主题域中新建维表，在主题域中新建维表不得分，且影响后续题目得分。使用DMP 和BA 工具进行路径建设时，考生请注意路径的层级，在同一层级下建立不同子层级时，上级层级仅为方便考生查找路径使用，请勿重复建立。重复建立不得分，且影响后续题目得分。</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bookmarkStart w:id="18" w:name="5、删除数据表"/>
      <w:bookmarkEnd w:id="18"/>
      <w:r>
        <w:rPr>
          <w:rFonts w:hint="eastAsia" w:asciiTheme="minorEastAsia" w:hAnsiTheme="minorEastAsia" w:eastAsiaTheme="minorEastAsia"/>
          <w:b/>
          <w:sz w:val="21"/>
          <w:szCs w:val="21"/>
        </w:rPr>
        <w:t>（</w:t>
      </w:r>
      <w:r>
        <w:rPr>
          <w:rFonts w:hint="eastAsia" w:asciiTheme="minorEastAsia" w:hAnsiTheme="minorEastAsia" w:eastAsiaTheme="minorEastAsia"/>
          <w:b/>
          <w:sz w:val="21"/>
          <w:szCs w:val="21"/>
          <w:lang w:val="en-US"/>
        </w:rPr>
        <w:t>5</w:t>
      </w:r>
      <w:r>
        <w:rPr>
          <w:rFonts w:hint="eastAsia" w:asciiTheme="minorEastAsia" w:hAnsiTheme="minorEastAsia" w:eastAsiaTheme="minorEastAsia"/>
          <w:b/>
          <w:sz w:val="21"/>
          <w:szCs w:val="21"/>
        </w:rPr>
        <w:t>）删除数据表</w:t>
      </w:r>
    </w:p>
    <w:p>
      <w:pPr>
        <w:pageBreakBefore w:val="0"/>
        <w:widowControl w:val="0"/>
        <w:kinsoku/>
        <w:wordWrap/>
        <w:overflowPunct/>
        <w:topLinePunct w:val="0"/>
        <w:bidi w:val="0"/>
        <w:adjustRightInd/>
        <w:snapToGrid/>
        <w:spacing w:line="360" w:lineRule="auto"/>
        <w:ind w:firstLine="420" w:firstLineChars="200"/>
        <w:jc w:val="both"/>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出现需要删除维表或数据模型的情况时，如果数据库无数据，系统会提示是否删除表对应的数据库，请选择删除；如果数据库已有数据，则无法顺利删除，必须重新建立，新建数据库时出现数据库名重复时，请在数据库名称后增加一位数字，此操作不影响得分。</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bookmarkStart w:id="19" w:name="6、ETL组件修改"/>
      <w:bookmarkEnd w:id="19"/>
      <w:r>
        <w:rPr>
          <w:rFonts w:hint="eastAsia" w:asciiTheme="minorEastAsia" w:hAnsiTheme="minorEastAsia" w:eastAsiaTheme="minorEastAsia"/>
          <w:b/>
          <w:sz w:val="21"/>
          <w:szCs w:val="21"/>
        </w:rPr>
        <w:t>（6）ETL 组件修改</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ETL</w:t>
      </w:r>
      <w:r>
        <w:rPr>
          <w:rFonts w:hint="eastAsia" w:asciiTheme="minorEastAsia" w:hAnsiTheme="minorEastAsia" w:eastAsiaTheme="minorEastAsia"/>
          <w:spacing w:val="-15"/>
          <w:sz w:val="21"/>
          <w:szCs w:val="21"/>
        </w:rPr>
        <w:t xml:space="preserve"> 转换组件需要修改时，需要将要修改的组件删除后，重新添加</w:t>
      </w:r>
      <w:r>
        <w:rPr>
          <w:rFonts w:hint="eastAsia" w:asciiTheme="minorEastAsia" w:hAnsiTheme="minorEastAsia" w:eastAsiaTheme="minorEastAsia"/>
          <w:sz w:val="21"/>
          <w:szCs w:val="21"/>
        </w:rPr>
        <w:t>该组件，如果直接在组件上修改，可能出现修改无效的现象，影响考试系统评分。</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bookmarkStart w:id="20" w:name="7、ETL“运行”操作"/>
      <w:bookmarkEnd w:id="20"/>
      <w:r>
        <w:rPr>
          <w:rFonts w:hint="eastAsia" w:asciiTheme="minorEastAsia" w:hAnsiTheme="minorEastAsia" w:eastAsiaTheme="minorEastAsia"/>
          <w:b/>
          <w:sz w:val="21"/>
          <w:szCs w:val="21"/>
        </w:rPr>
        <w:t>（7）ETL“运行”操作</w:t>
      </w:r>
    </w:p>
    <w:p>
      <w:pPr>
        <w:pageBreakBefore w:val="0"/>
        <w:widowControl w:val="0"/>
        <w:kinsoku/>
        <w:wordWrap/>
        <w:overflowPunct/>
        <w:topLinePunct w:val="0"/>
        <w:bidi w:val="0"/>
        <w:adjustRightInd/>
        <w:snapToGrid/>
        <w:spacing w:line="360" w:lineRule="auto"/>
        <w:ind w:firstLine="420" w:firstLineChars="200"/>
        <w:jc w:val="both"/>
        <w:textAlignment w:val="auto"/>
        <w:rPr>
          <w:rFonts w:hint="eastAsia" w:asciiTheme="minorEastAsia" w:hAnsiTheme="minorEastAsia" w:eastAsiaTheme="minorEastAsia"/>
          <w:sz w:val="21"/>
          <w:szCs w:val="21"/>
        </w:rPr>
      </w:pPr>
      <w:r>
        <w:rPr>
          <w:rFonts w:hint="eastAsia" w:asciiTheme="minorEastAsia" w:hAnsiTheme="minorEastAsia" w:eastAsiaTheme="minorEastAsia"/>
          <w:sz w:val="21"/>
          <w:szCs w:val="21"/>
        </w:rPr>
        <w:t>本次考试注重考查数据建模方法，为提高效率，不对ETL 转换中的数据运行有效进行考核。所以取消了“运行”按钮，设置好ETL 转换组件后无需点击“运行”按钮。</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r>
        <w:rPr>
          <w:rFonts w:hint="eastAsia" w:asciiTheme="minorEastAsia" w:hAnsiTheme="minorEastAsia" w:eastAsiaTheme="minorEastAsia"/>
          <w:b/>
          <w:sz w:val="21"/>
          <w:szCs w:val="21"/>
        </w:rPr>
        <w:t>（8）字段数据类型</w:t>
      </w:r>
    </w:p>
    <w:p>
      <w:pPr>
        <w:pageBreakBefore w:val="0"/>
        <w:widowControl w:val="0"/>
        <w:kinsoku/>
        <w:wordWrap/>
        <w:overflowPunct/>
        <w:topLinePunct w:val="0"/>
        <w:bidi w:val="0"/>
        <w:adjustRightInd/>
        <w:snapToGrid/>
        <w:spacing w:line="360" w:lineRule="auto"/>
        <w:ind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进行字段设置时，竞赛题会在“公共规则”中给出字段设置要求， 不按要求设置不得分。例题实例如下：</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6"/>
        <w:gridCol w:w="1843"/>
        <w:gridCol w:w="1843"/>
        <w:gridCol w:w="1417"/>
        <w:gridCol w:w="15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jc w:val="center"/>
        </w:trPr>
        <w:tc>
          <w:tcPr>
            <w:tcW w:w="1696"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字段名</w:t>
            </w:r>
          </w:p>
        </w:tc>
        <w:tc>
          <w:tcPr>
            <w:tcW w:w="184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别名</w:t>
            </w:r>
          </w:p>
        </w:tc>
        <w:tc>
          <w:tcPr>
            <w:tcW w:w="184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数据类型</w:t>
            </w:r>
          </w:p>
        </w:tc>
        <w:tc>
          <w:tcPr>
            <w:tcW w:w="1417"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长度</w:t>
            </w:r>
          </w:p>
        </w:tc>
        <w:tc>
          <w:tcPr>
            <w:tcW w:w="1560"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精度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1696"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XH</w:t>
            </w:r>
          </w:p>
        </w:tc>
        <w:tc>
          <w:tcPr>
            <w:tcW w:w="184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序号</w:t>
            </w:r>
          </w:p>
        </w:tc>
        <w:tc>
          <w:tcPr>
            <w:tcW w:w="184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字符型</w:t>
            </w:r>
          </w:p>
        </w:tc>
        <w:tc>
          <w:tcPr>
            <w:tcW w:w="1417"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6</w:t>
            </w:r>
          </w:p>
        </w:tc>
        <w:tc>
          <w:tcPr>
            <w:tcW w:w="1560"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1696"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SPBM</w:t>
            </w:r>
          </w:p>
        </w:tc>
        <w:tc>
          <w:tcPr>
            <w:tcW w:w="184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商品编码</w:t>
            </w:r>
          </w:p>
        </w:tc>
        <w:tc>
          <w:tcPr>
            <w:tcW w:w="184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字符型</w:t>
            </w:r>
          </w:p>
        </w:tc>
        <w:tc>
          <w:tcPr>
            <w:tcW w:w="1417"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10</w:t>
            </w:r>
          </w:p>
        </w:tc>
        <w:tc>
          <w:tcPr>
            <w:tcW w:w="1560"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jc w:val="center"/>
        </w:trPr>
        <w:tc>
          <w:tcPr>
            <w:tcW w:w="1696"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c>
          <w:tcPr>
            <w:tcW w:w="184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c>
          <w:tcPr>
            <w:tcW w:w="1843"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c>
          <w:tcPr>
            <w:tcW w:w="1417"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r>
              <w:rPr>
                <w:rFonts w:hint="eastAsia" w:asciiTheme="minorEastAsia" w:hAnsiTheme="minorEastAsia" w:eastAsiaTheme="minorEastAsia"/>
                <w:sz w:val="18"/>
                <w:szCs w:val="18"/>
              </w:rPr>
              <w:t>……</w:t>
            </w:r>
          </w:p>
        </w:tc>
        <w:tc>
          <w:tcPr>
            <w:tcW w:w="1560"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asciiTheme="minorEastAsia" w:hAnsiTheme="minorEastAsia" w:eastAsiaTheme="minorEastAsia"/>
                <w:sz w:val="18"/>
                <w:szCs w:val="18"/>
              </w:rPr>
            </w:pPr>
          </w:p>
        </w:tc>
      </w:tr>
    </w:tbl>
    <w:p>
      <w:pPr>
        <w:pageBreakBefore w:val="0"/>
        <w:widowControl w:val="0"/>
        <w:kinsoku/>
        <w:wordWrap/>
        <w:overflowPunct/>
        <w:topLinePunct w:val="0"/>
        <w:bidi w:val="0"/>
        <w:adjustRightInd/>
        <w:snapToGrid/>
        <w:spacing w:line="360" w:lineRule="auto"/>
        <w:ind w:firstLine="422" w:firstLineChars="200"/>
        <w:textAlignment w:val="auto"/>
        <w:outlineLvl w:val="1"/>
        <w:rPr>
          <w:rFonts w:hint="eastAsia" w:asciiTheme="minorEastAsia" w:hAnsiTheme="minorEastAsia" w:eastAsiaTheme="minorEastAsia"/>
          <w:b/>
          <w:sz w:val="21"/>
          <w:szCs w:val="21"/>
          <w:lang w:val="en-US"/>
        </w:rPr>
      </w:pPr>
      <w:bookmarkStart w:id="21" w:name="二、评分细则"/>
      <w:bookmarkEnd w:id="21"/>
    </w:p>
    <w:p>
      <w:pPr>
        <w:pageBreakBefore w:val="0"/>
        <w:widowControl w:val="0"/>
        <w:kinsoku/>
        <w:wordWrap/>
        <w:overflowPunct/>
        <w:topLinePunct w:val="0"/>
        <w:bidi w:val="0"/>
        <w:adjustRightInd/>
        <w:snapToGrid/>
        <w:spacing w:line="360" w:lineRule="auto"/>
        <w:ind w:firstLine="422" w:firstLineChars="200"/>
        <w:textAlignment w:val="auto"/>
        <w:outlineLvl w:val="1"/>
        <w:rPr>
          <w:rFonts w:asciiTheme="minorEastAsia" w:hAnsiTheme="minorEastAsia" w:eastAsiaTheme="minorEastAsia"/>
          <w:b/>
          <w:sz w:val="21"/>
          <w:szCs w:val="21"/>
          <w:lang w:val="en-US"/>
        </w:rPr>
      </w:pPr>
      <w:r>
        <w:rPr>
          <w:rFonts w:hint="eastAsia" w:asciiTheme="minorEastAsia" w:hAnsiTheme="minorEastAsia" w:eastAsiaTheme="minorEastAsia"/>
          <w:b/>
          <w:sz w:val="21"/>
          <w:szCs w:val="21"/>
          <w:lang w:val="en-US"/>
        </w:rPr>
        <w:t>（五）评分要点</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bookmarkStart w:id="22" w:name="1、创建表评分点"/>
      <w:bookmarkEnd w:id="22"/>
      <w:r>
        <w:rPr>
          <w:rFonts w:hint="eastAsia" w:asciiTheme="minorEastAsia" w:hAnsiTheme="minorEastAsia" w:eastAsiaTheme="minorEastAsia"/>
          <w:b/>
          <w:sz w:val="21"/>
          <w:szCs w:val="21"/>
        </w:rPr>
        <w:t>（1）创建表评分点</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hint="eastAsia" w:asciiTheme="minorEastAsia" w:hAnsiTheme="minorEastAsia" w:eastAsiaTheme="minorEastAsia"/>
          <w:sz w:val="21"/>
          <w:szCs w:val="21"/>
        </w:rPr>
        <w:t>路径的简称、代号、数据源连接符合题目要求；</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asciiTheme="minorEastAsia" w:hAnsiTheme="minorEastAsia" w:eastAsiaTheme="minorEastAsia"/>
          <w:sz w:val="21"/>
          <w:szCs w:val="21"/>
        </w:rPr>
      </w:pPr>
      <w:r>
        <w:rPr>
          <w:rFonts w:hint="eastAsia" w:cs="宋体" w:asciiTheme="minorEastAsia" w:hAnsiTheme="minorEastAsia" w:eastAsiaTheme="minorEastAsia"/>
          <w:sz w:val="21"/>
          <w:szCs w:val="21"/>
        </w:rPr>
        <w:t>②</w:t>
      </w:r>
      <w:r>
        <w:rPr>
          <w:rFonts w:hint="eastAsia" w:asciiTheme="minorEastAsia" w:hAnsiTheme="minorEastAsia" w:eastAsiaTheme="minorEastAsia"/>
          <w:sz w:val="21"/>
          <w:szCs w:val="21"/>
        </w:rPr>
        <w:t>维表的简称、代号、数据库表名称符合题目要求；</w:t>
      </w:r>
    </w:p>
    <w:p>
      <w:pPr>
        <w:pStyle w:val="14"/>
        <w:pageBreakBefore w:val="0"/>
        <w:widowControl w:val="0"/>
        <w:tabs>
          <w:tab w:val="left" w:pos="1280"/>
        </w:tabs>
        <w:kinsoku/>
        <w:wordWrap/>
        <w:overflowPunct/>
        <w:topLinePunct w:val="0"/>
        <w:bidi w:val="0"/>
        <w:adjustRightInd/>
        <w:snapToGrid/>
        <w:spacing w:line="360" w:lineRule="auto"/>
        <w:ind w:left="0" w:firstLine="404" w:firstLineChars="200"/>
        <w:textAlignment w:val="auto"/>
        <w:rPr>
          <w:rFonts w:asciiTheme="minorEastAsia" w:hAnsiTheme="minorEastAsia" w:eastAsiaTheme="minorEastAsia"/>
          <w:sz w:val="21"/>
          <w:szCs w:val="21"/>
        </w:rPr>
      </w:pPr>
      <w:r>
        <w:rPr>
          <w:rFonts w:hint="eastAsia" w:cs="宋体" w:asciiTheme="minorEastAsia" w:hAnsiTheme="minorEastAsia" w:eastAsiaTheme="minorEastAsia"/>
          <w:spacing w:val="-4"/>
          <w:sz w:val="21"/>
          <w:szCs w:val="21"/>
        </w:rPr>
        <w:t>③</w:t>
      </w:r>
      <w:r>
        <w:rPr>
          <w:rFonts w:hint="eastAsia" w:asciiTheme="minorEastAsia" w:hAnsiTheme="minorEastAsia" w:eastAsiaTheme="minorEastAsia"/>
          <w:spacing w:val="-4"/>
          <w:sz w:val="21"/>
          <w:szCs w:val="21"/>
        </w:rPr>
        <w:t>创建表的字段数量、顺序、字段名、每个字段的属性设置符合</w:t>
      </w:r>
      <w:r>
        <w:rPr>
          <w:rFonts w:hint="eastAsia" w:asciiTheme="minorEastAsia" w:hAnsiTheme="minorEastAsia" w:eastAsiaTheme="minorEastAsia"/>
          <w:sz w:val="21"/>
          <w:szCs w:val="21"/>
        </w:rPr>
        <w:t>题目要求，注意只有该字段的所有属性设置均正确该字段才得分。</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bookmarkStart w:id="23" w:name="2、数据转换评分点"/>
      <w:bookmarkEnd w:id="23"/>
      <w:r>
        <w:rPr>
          <w:rFonts w:hint="eastAsia" w:asciiTheme="minorEastAsia" w:hAnsiTheme="minorEastAsia" w:eastAsiaTheme="minorEastAsia"/>
          <w:b/>
          <w:sz w:val="21"/>
          <w:szCs w:val="21"/>
        </w:rPr>
        <w:t>（2）数据转换评分点</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①路径正确；</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②ETL 转换的标题、代号符合题目要求；</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③ETL 转换的组件名称、数量、数据源连接、选择表等符合题目要求。</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bookmarkStart w:id="24" w:name="3、数据集定义评分点"/>
      <w:bookmarkEnd w:id="24"/>
      <w:r>
        <w:rPr>
          <w:rFonts w:hint="eastAsia" w:asciiTheme="minorEastAsia" w:hAnsiTheme="minorEastAsia" w:eastAsiaTheme="minorEastAsia"/>
          <w:b/>
          <w:sz w:val="21"/>
          <w:szCs w:val="21"/>
        </w:rPr>
        <w:t>（3）数据集定义评分点</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①路径的编号、名称符合题目要求；</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②数据集来源及语句要求符合题目要求；</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③数据集预览字段名、字段说明、字段序号符合题目要求。</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bookmarkStart w:id="25" w:name="4、部件定义评分点"/>
      <w:bookmarkEnd w:id="25"/>
      <w:r>
        <w:rPr>
          <w:rFonts w:hint="eastAsia" w:asciiTheme="minorEastAsia" w:hAnsiTheme="minorEastAsia" w:eastAsiaTheme="minorEastAsia"/>
          <w:b/>
          <w:sz w:val="21"/>
          <w:szCs w:val="21"/>
        </w:rPr>
        <w:t>（4）部件定义评分点</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①路径的编号、名称、数据集符合题目要求；</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②部件配置符合题目要求。</w:t>
      </w:r>
    </w:p>
    <w:p>
      <w:pPr>
        <w:pageBreakBefore w:val="0"/>
        <w:widowControl w:val="0"/>
        <w:kinsoku/>
        <w:wordWrap/>
        <w:overflowPunct/>
        <w:topLinePunct w:val="0"/>
        <w:bidi w:val="0"/>
        <w:adjustRightInd/>
        <w:snapToGrid/>
        <w:spacing w:line="360" w:lineRule="auto"/>
        <w:ind w:firstLine="422" w:firstLineChars="200"/>
        <w:textAlignment w:val="auto"/>
        <w:outlineLvl w:val="2"/>
        <w:rPr>
          <w:rFonts w:asciiTheme="minorEastAsia" w:hAnsiTheme="minorEastAsia" w:eastAsiaTheme="minorEastAsia"/>
          <w:b/>
          <w:sz w:val="21"/>
          <w:szCs w:val="21"/>
        </w:rPr>
      </w:pPr>
      <w:bookmarkStart w:id="26" w:name="5、分析看板评分点"/>
      <w:bookmarkEnd w:id="26"/>
      <w:r>
        <w:rPr>
          <w:rFonts w:hint="eastAsia" w:asciiTheme="minorEastAsia" w:hAnsiTheme="minorEastAsia" w:eastAsiaTheme="minorEastAsia"/>
          <w:b/>
          <w:sz w:val="21"/>
          <w:szCs w:val="21"/>
        </w:rPr>
        <w:t>（5）分析看板评分点</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①路径的编号、名称符合题目要求；</w:t>
      </w:r>
    </w:p>
    <w:p>
      <w:pPr>
        <w:pStyle w:val="14"/>
        <w:pageBreakBefore w:val="0"/>
        <w:widowControl w:val="0"/>
        <w:tabs>
          <w:tab w:val="left" w:pos="1280"/>
        </w:tabs>
        <w:kinsoku/>
        <w:wordWrap/>
        <w:overflowPunct/>
        <w:topLinePunct w:val="0"/>
        <w:bidi w:val="0"/>
        <w:adjustRightInd/>
        <w:snapToGrid/>
        <w:spacing w:line="360" w:lineRule="auto"/>
        <w:ind w:left="0" w:firstLine="420" w:firstLineChars="200"/>
        <w:textAlignment w:val="auto"/>
        <w:rPr>
          <w:rFonts w:cs="Times New Roman" w:asciiTheme="minorEastAsia" w:hAnsiTheme="minorEastAsia" w:eastAsiaTheme="minorEastAsia"/>
          <w:spacing w:val="-4"/>
          <w:sz w:val="21"/>
          <w:szCs w:val="21"/>
        </w:rPr>
      </w:pPr>
      <w:r>
        <w:rPr>
          <w:rFonts w:hint="eastAsia" w:asciiTheme="minorEastAsia" w:hAnsiTheme="minorEastAsia" w:eastAsiaTheme="minorEastAsia"/>
          <w:sz w:val="21"/>
          <w:szCs w:val="21"/>
        </w:rPr>
        <w:t>②部件配置符合题目要求。</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bookmarkStart w:id="27" w:name="（二）评分方法"/>
      <w:bookmarkEnd w:id="27"/>
      <w:bookmarkStart w:id="28" w:name="九、竞赛流程"/>
      <w:bookmarkEnd w:id="28"/>
      <w:bookmarkStart w:id="29" w:name="（一）评分标准制定原则"/>
      <w:bookmarkEnd w:id="29"/>
      <w:r>
        <w:rPr>
          <w:rFonts w:hint="eastAsia" w:cs="Times New Roman" w:asciiTheme="minorEastAsia" w:hAnsiTheme="minorEastAsia" w:eastAsiaTheme="minorEastAsia"/>
          <w:b/>
          <w:bCs/>
          <w:sz w:val="21"/>
          <w:szCs w:val="21"/>
        </w:rPr>
        <w:t>八</w:t>
      </w:r>
      <w:r>
        <w:rPr>
          <w:rFonts w:cs="Times New Roman" w:asciiTheme="minorEastAsia" w:hAnsiTheme="minorEastAsia" w:eastAsiaTheme="minorEastAsia"/>
          <w:b/>
          <w:bCs/>
          <w:sz w:val="21"/>
          <w:szCs w:val="21"/>
        </w:rPr>
        <w:t>、竞赛</w:t>
      </w:r>
      <w:r>
        <w:rPr>
          <w:rFonts w:hint="eastAsia" w:cs="Times New Roman" w:asciiTheme="minorEastAsia" w:hAnsiTheme="minorEastAsia" w:eastAsiaTheme="minorEastAsia"/>
          <w:b/>
          <w:bCs/>
          <w:sz w:val="21"/>
          <w:szCs w:val="21"/>
        </w:rPr>
        <w:t>规则</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（一</w:t>
      </w:r>
      <w:r>
        <w:rPr>
          <w:rFonts w:cs="Times New Roman" w:asciiTheme="minorEastAsia" w:hAnsiTheme="minorEastAsia" w:eastAsiaTheme="minorEastAsia"/>
          <w:spacing w:val="-48"/>
          <w:sz w:val="21"/>
          <w:szCs w:val="21"/>
        </w:rPr>
        <w:t>）</w:t>
      </w:r>
      <w:r>
        <w:rPr>
          <w:rFonts w:cs="Times New Roman" w:asciiTheme="minorEastAsia" w:hAnsiTheme="minorEastAsia" w:eastAsiaTheme="minorEastAsia"/>
          <w:spacing w:val="-5"/>
          <w:sz w:val="21"/>
          <w:szCs w:val="21"/>
        </w:rPr>
        <w:t>大赛采用线</w:t>
      </w:r>
      <w:r>
        <w:rPr>
          <w:rFonts w:hint="eastAsia" w:cs="Times New Roman" w:asciiTheme="minorEastAsia" w:hAnsiTheme="minorEastAsia" w:eastAsiaTheme="minorEastAsia"/>
          <w:spacing w:val="-5"/>
          <w:sz w:val="21"/>
          <w:szCs w:val="21"/>
        </w:rPr>
        <w:t>下</w:t>
      </w:r>
      <w:r>
        <w:rPr>
          <w:rFonts w:cs="Times New Roman" w:asciiTheme="minorEastAsia" w:hAnsiTheme="minorEastAsia" w:eastAsiaTheme="minorEastAsia"/>
          <w:spacing w:val="-5"/>
          <w:sz w:val="21"/>
          <w:szCs w:val="21"/>
        </w:rPr>
        <w:t>竞赛形式，各参赛队按照相关要求</w:t>
      </w:r>
      <w:r>
        <w:rPr>
          <w:rFonts w:cs="Times New Roman" w:asciiTheme="minorEastAsia" w:hAnsiTheme="minorEastAsia" w:eastAsiaTheme="minorEastAsia"/>
          <w:sz w:val="21"/>
          <w:szCs w:val="21"/>
        </w:rPr>
        <w:t>签到，在规定时间内完成比赛内容。</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w:t>
      </w:r>
      <w:r>
        <w:rPr>
          <w:rFonts w:hint="eastAsia" w:cs="Times New Roman" w:asciiTheme="minorEastAsia" w:hAnsiTheme="minorEastAsia" w:eastAsiaTheme="minorEastAsia"/>
          <w:sz w:val="21"/>
          <w:szCs w:val="21"/>
        </w:rPr>
        <w:t>二</w:t>
      </w:r>
      <w:r>
        <w:rPr>
          <w:rFonts w:cs="Times New Roman" w:asciiTheme="minorEastAsia" w:hAnsiTheme="minorEastAsia" w:eastAsiaTheme="minorEastAsia"/>
          <w:spacing w:val="-48"/>
          <w:sz w:val="21"/>
          <w:szCs w:val="21"/>
        </w:rPr>
        <w:t>）</w:t>
      </w:r>
      <w:r>
        <w:rPr>
          <w:rFonts w:hint="eastAsia" w:cs="Times New Roman" w:asciiTheme="minorEastAsia" w:hAnsiTheme="minorEastAsia" w:eastAsiaTheme="minorEastAsia"/>
          <w:sz w:val="21"/>
          <w:szCs w:val="21"/>
          <w:lang w:val="en-US"/>
        </w:rPr>
        <w:t>参赛选手</w:t>
      </w:r>
      <w:r>
        <w:rPr>
          <w:rFonts w:cs="Times New Roman" w:asciiTheme="minorEastAsia" w:hAnsiTheme="minorEastAsia" w:eastAsiaTheme="minorEastAsia"/>
          <w:sz w:val="21"/>
          <w:szCs w:val="21"/>
        </w:rPr>
        <w:t>必须持本人有效身份证、参赛证</w:t>
      </w:r>
      <w:r>
        <w:rPr>
          <w:rFonts w:hint="eastAsia" w:cs="Times New Roman" w:asciiTheme="minorEastAsia" w:hAnsiTheme="minorEastAsia" w:eastAsiaTheme="minorEastAsia"/>
          <w:sz w:val="21"/>
          <w:szCs w:val="21"/>
        </w:rPr>
        <w:t>、</w:t>
      </w:r>
      <w:r>
        <w:rPr>
          <w:rFonts w:cs="Times New Roman" w:asciiTheme="minorEastAsia" w:hAnsiTheme="minorEastAsia" w:eastAsiaTheme="minorEastAsia"/>
          <w:sz w:val="21"/>
          <w:szCs w:val="21"/>
        </w:rPr>
        <w:t>学生证（三证必须齐全）</w:t>
      </w:r>
      <w:r>
        <w:rPr>
          <w:rFonts w:hint="eastAsia" w:cs="Times New Roman" w:asciiTheme="minorEastAsia" w:hAnsiTheme="minorEastAsia" w:eastAsiaTheme="minorEastAsia"/>
          <w:sz w:val="21"/>
          <w:szCs w:val="21"/>
        </w:rPr>
        <w:t>和保险单</w:t>
      </w:r>
      <w:r>
        <w:rPr>
          <w:rFonts w:cs="Times New Roman" w:asciiTheme="minorEastAsia" w:hAnsiTheme="minorEastAsia" w:eastAsiaTheme="minorEastAsia"/>
          <w:sz w:val="21"/>
          <w:szCs w:val="21"/>
        </w:rPr>
        <w:t>参加比赛。</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bookmarkStart w:id="30" w:name="bookmark43"/>
      <w:bookmarkEnd w:id="30"/>
      <w:bookmarkStart w:id="31" w:name="bookmark42"/>
      <w:bookmarkEnd w:id="31"/>
      <w:r>
        <w:rPr>
          <w:rFonts w:cs="Times New Roman" w:asciiTheme="minorEastAsia" w:hAnsiTheme="minorEastAsia" w:eastAsiaTheme="minorEastAsia"/>
          <w:sz w:val="21"/>
          <w:szCs w:val="21"/>
        </w:rPr>
        <w:t>（</w:t>
      </w:r>
      <w:r>
        <w:rPr>
          <w:rFonts w:hint="eastAsia" w:cs="Times New Roman" w:asciiTheme="minorEastAsia" w:hAnsiTheme="minorEastAsia" w:eastAsiaTheme="minorEastAsia"/>
          <w:sz w:val="21"/>
          <w:szCs w:val="21"/>
        </w:rPr>
        <w:t>三</w:t>
      </w:r>
      <w:r>
        <w:rPr>
          <w:rFonts w:cs="Times New Roman" w:asciiTheme="minorEastAsia" w:hAnsiTheme="minorEastAsia" w:eastAsiaTheme="minorEastAsia"/>
          <w:spacing w:val="-48"/>
          <w:sz w:val="21"/>
          <w:szCs w:val="21"/>
        </w:rPr>
        <w:t>）</w:t>
      </w:r>
      <w:r>
        <w:rPr>
          <w:rFonts w:cs="Times New Roman" w:asciiTheme="minorEastAsia" w:hAnsiTheme="minorEastAsia" w:eastAsiaTheme="minorEastAsia"/>
          <w:sz w:val="21"/>
          <w:szCs w:val="21"/>
        </w:rPr>
        <w:t>参赛选手提前1</w:t>
      </w:r>
      <w:r>
        <w:rPr>
          <w:rFonts w:hint="eastAsia" w:cs="Times New Roman" w:asciiTheme="minorEastAsia" w:hAnsiTheme="minorEastAsia" w:eastAsiaTheme="minorEastAsia"/>
          <w:sz w:val="21"/>
          <w:szCs w:val="21"/>
          <w:lang w:val="en-US"/>
        </w:rPr>
        <w:t>0</w:t>
      </w:r>
      <w:r>
        <w:rPr>
          <w:rFonts w:cs="Times New Roman" w:asciiTheme="minorEastAsia" w:hAnsiTheme="minorEastAsia" w:eastAsiaTheme="minorEastAsia"/>
          <w:sz w:val="21"/>
          <w:szCs w:val="21"/>
        </w:rPr>
        <w:t>分钟进入赛场，并按照指定位号参加比赛。迟到15分钟者，取消比赛资格；</w:t>
      </w:r>
      <w:r>
        <w:rPr>
          <w:rFonts w:hint="eastAsia" w:cs="Times New Roman" w:asciiTheme="minorEastAsia" w:hAnsiTheme="minorEastAsia" w:eastAsiaTheme="minorEastAsia"/>
          <w:sz w:val="21"/>
          <w:szCs w:val="21"/>
        </w:rPr>
        <w:t>参赛选手可提前3</w:t>
      </w:r>
      <w:r>
        <w:rPr>
          <w:rFonts w:cs="Times New Roman" w:asciiTheme="minorEastAsia" w:hAnsiTheme="minorEastAsia" w:eastAsiaTheme="minorEastAsia"/>
          <w:sz w:val="21"/>
          <w:szCs w:val="21"/>
        </w:rPr>
        <w:t>0</w:t>
      </w:r>
      <w:r>
        <w:rPr>
          <w:rFonts w:hint="eastAsia" w:cs="Times New Roman" w:asciiTheme="minorEastAsia" w:hAnsiTheme="minorEastAsia" w:eastAsiaTheme="minorEastAsia"/>
          <w:sz w:val="21"/>
          <w:szCs w:val="21"/>
        </w:rPr>
        <w:t>分钟交卷，经裁判判断交卷无误后，方可离场</w:t>
      </w:r>
      <w:r>
        <w:rPr>
          <w:rFonts w:cs="Times New Roman" w:asciiTheme="minorEastAsia" w:hAnsiTheme="minorEastAsia" w:eastAsiaTheme="minorEastAsia"/>
          <w:sz w:val="21"/>
          <w:szCs w:val="21"/>
        </w:rPr>
        <w:t>。</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pacing w:val="-9"/>
          <w:sz w:val="21"/>
          <w:szCs w:val="21"/>
        </w:rPr>
      </w:pPr>
      <w:bookmarkStart w:id="32" w:name="bookmark44"/>
      <w:bookmarkEnd w:id="32"/>
      <w:r>
        <w:rPr>
          <w:rFonts w:cs="Times New Roman" w:asciiTheme="minorEastAsia" w:hAnsiTheme="minorEastAsia" w:eastAsiaTheme="minorEastAsia"/>
          <w:sz w:val="21"/>
          <w:szCs w:val="21"/>
        </w:rPr>
        <w:t>（</w:t>
      </w:r>
      <w:r>
        <w:rPr>
          <w:rFonts w:hint="eastAsia" w:cs="Times New Roman" w:asciiTheme="minorEastAsia" w:hAnsiTheme="minorEastAsia" w:eastAsiaTheme="minorEastAsia"/>
          <w:sz w:val="21"/>
          <w:szCs w:val="21"/>
        </w:rPr>
        <w:t>四</w:t>
      </w:r>
      <w:r>
        <w:rPr>
          <w:rFonts w:cs="Times New Roman" w:asciiTheme="minorEastAsia" w:hAnsiTheme="minorEastAsia" w:eastAsiaTheme="minorEastAsia"/>
          <w:spacing w:val="-48"/>
          <w:sz w:val="21"/>
          <w:szCs w:val="21"/>
        </w:rPr>
        <w:t>）</w:t>
      </w:r>
      <w:r>
        <w:rPr>
          <w:rFonts w:cs="Times New Roman" w:asciiTheme="minorEastAsia" w:hAnsiTheme="minorEastAsia" w:eastAsiaTheme="minorEastAsia"/>
          <w:spacing w:val="-11"/>
          <w:sz w:val="21"/>
          <w:szCs w:val="21"/>
        </w:rPr>
        <w:t>同一队参赛</w:t>
      </w:r>
      <w:r>
        <w:rPr>
          <w:rFonts w:cs="Times New Roman" w:asciiTheme="minorEastAsia" w:hAnsiTheme="minorEastAsia" w:eastAsiaTheme="minorEastAsia"/>
          <w:spacing w:val="-9"/>
          <w:sz w:val="21"/>
          <w:szCs w:val="21"/>
        </w:rPr>
        <w:t>人员</w:t>
      </w:r>
      <w:r>
        <w:rPr>
          <w:rFonts w:cs="Times New Roman" w:asciiTheme="minorEastAsia" w:hAnsiTheme="minorEastAsia" w:eastAsiaTheme="minorEastAsia"/>
          <w:spacing w:val="-11"/>
          <w:sz w:val="21"/>
          <w:szCs w:val="21"/>
        </w:rPr>
        <w:t>之间</w:t>
      </w:r>
      <w:r>
        <w:rPr>
          <w:rFonts w:cs="Times New Roman" w:asciiTheme="minorEastAsia" w:hAnsiTheme="minorEastAsia" w:eastAsiaTheme="minorEastAsia"/>
          <w:spacing w:val="-9"/>
          <w:sz w:val="21"/>
          <w:szCs w:val="21"/>
        </w:rPr>
        <w:t>可以相互沟通，但不得</w:t>
      </w:r>
      <w:r>
        <w:rPr>
          <w:rFonts w:hint="eastAsia" w:cs="Times New Roman" w:asciiTheme="minorEastAsia" w:hAnsiTheme="minorEastAsia" w:eastAsiaTheme="minorEastAsia"/>
          <w:spacing w:val="-9"/>
          <w:sz w:val="21"/>
          <w:szCs w:val="21"/>
          <w:lang w:val="en-US"/>
        </w:rPr>
        <w:t>影响</w:t>
      </w:r>
      <w:r>
        <w:rPr>
          <w:rFonts w:cs="Times New Roman" w:asciiTheme="minorEastAsia" w:hAnsiTheme="minorEastAsia" w:eastAsiaTheme="minorEastAsia"/>
          <w:spacing w:val="-9"/>
          <w:sz w:val="21"/>
          <w:szCs w:val="21"/>
        </w:rPr>
        <w:t>其他</w:t>
      </w:r>
      <w:r>
        <w:rPr>
          <w:rFonts w:hint="eastAsia" w:cs="Times New Roman" w:asciiTheme="minorEastAsia" w:hAnsiTheme="minorEastAsia" w:eastAsiaTheme="minorEastAsia"/>
          <w:spacing w:val="-9"/>
          <w:sz w:val="21"/>
          <w:szCs w:val="21"/>
        </w:rPr>
        <w:t>参赛</w:t>
      </w:r>
      <w:r>
        <w:rPr>
          <w:rFonts w:cs="Times New Roman" w:asciiTheme="minorEastAsia" w:hAnsiTheme="minorEastAsia" w:eastAsiaTheme="minorEastAsia"/>
          <w:spacing w:val="-9"/>
          <w:sz w:val="21"/>
          <w:szCs w:val="21"/>
        </w:rPr>
        <w:t>队</w:t>
      </w:r>
      <w:r>
        <w:rPr>
          <w:rFonts w:hint="eastAsia" w:cs="Times New Roman" w:asciiTheme="minorEastAsia" w:hAnsiTheme="minorEastAsia" w:eastAsiaTheme="minorEastAsia"/>
          <w:spacing w:val="-9"/>
          <w:sz w:val="21"/>
          <w:szCs w:val="21"/>
        </w:rPr>
        <w:t>答题</w:t>
      </w:r>
      <w:r>
        <w:rPr>
          <w:rFonts w:hint="eastAsia" w:cs="Times New Roman" w:asciiTheme="minorEastAsia" w:hAnsiTheme="minorEastAsia" w:eastAsiaTheme="minorEastAsia"/>
          <w:spacing w:val="-9"/>
          <w:sz w:val="21"/>
          <w:szCs w:val="21"/>
          <w:lang w:val="en-US"/>
        </w:rPr>
        <w:t>，</w:t>
      </w:r>
      <w:r>
        <w:rPr>
          <w:rFonts w:cs="Times New Roman" w:asciiTheme="minorEastAsia" w:hAnsiTheme="minorEastAsia" w:eastAsiaTheme="minorEastAsia"/>
          <w:spacing w:val="-9"/>
          <w:sz w:val="21"/>
          <w:szCs w:val="21"/>
          <w:lang w:val="en-US"/>
        </w:rPr>
        <w:t>比赛中不得随意调换角色岗位</w:t>
      </w:r>
      <w:r>
        <w:rPr>
          <w:rFonts w:cs="Times New Roman" w:asciiTheme="minorEastAsia" w:hAnsiTheme="minorEastAsia" w:eastAsiaTheme="minorEastAsia"/>
          <w:spacing w:val="-9"/>
          <w:sz w:val="21"/>
          <w:szCs w:val="21"/>
        </w:rPr>
        <w:t>。</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（五）</w:t>
      </w:r>
      <w:r>
        <w:rPr>
          <w:rFonts w:cs="Times New Roman" w:asciiTheme="minorEastAsia" w:hAnsiTheme="minorEastAsia" w:eastAsiaTheme="minorEastAsia"/>
          <w:sz w:val="21"/>
          <w:szCs w:val="21"/>
        </w:rPr>
        <w:t>选手在比赛过程中不得擅自离开赛场，如有特殊情况，需经裁判同意。选手若需休息、饮水或去洗手间等，耗用时间计算在比赛时间内。</w:t>
      </w:r>
    </w:p>
    <w:p>
      <w:pPr>
        <w:pStyle w:val="3"/>
        <w:pageBreakBefore w:val="0"/>
        <w:widowControl w:val="0"/>
        <w:kinsoku/>
        <w:wordWrap/>
        <w:overflowPunct/>
        <w:topLinePunct w:val="0"/>
        <w:bidi w:val="0"/>
        <w:adjustRightInd/>
        <w:snapToGrid/>
        <w:spacing w:line="360" w:lineRule="auto"/>
        <w:ind w:firstLine="422" w:firstLineChars="200"/>
        <w:jc w:val="both"/>
        <w:textAlignment w:val="auto"/>
        <w:rPr>
          <w:rFonts w:cs="Times New Roman" w:asciiTheme="minorEastAsia" w:hAnsiTheme="minorEastAsia" w:eastAsiaTheme="minorEastAsia"/>
          <w:b/>
          <w:bCs/>
          <w:sz w:val="21"/>
          <w:szCs w:val="21"/>
        </w:rPr>
      </w:pPr>
      <w:bookmarkStart w:id="33" w:name="bookmark45"/>
      <w:bookmarkEnd w:id="33"/>
      <w:r>
        <w:rPr>
          <w:rFonts w:cs="Times New Roman" w:asciiTheme="minorEastAsia" w:hAnsiTheme="minorEastAsia" w:eastAsiaTheme="minorEastAsia"/>
          <w:b/>
          <w:bCs/>
          <w:sz w:val="21"/>
          <w:szCs w:val="21"/>
        </w:rPr>
        <w:t>（</w:t>
      </w:r>
      <w:r>
        <w:rPr>
          <w:rFonts w:hint="eastAsia" w:cs="Times New Roman" w:asciiTheme="minorEastAsia" w:hAnsiTheme="minorEastAsia" w:eastAsiaTheme="minorEastAsia"/>
          <w:b/>
          <w:bCs/>
          <w:sz w:val="21"/>
          <w:szCs w:val="21"/>
        </w:rPr>
        <w:t>六</w:t>
      </w:r>
      <w:r>
        <w:rPr>
          <w:rFonts w:cs="Times New Roman" w:asciiTheme="minorEastAsia" w:hAnsiTheme="minorEastAsia" w:eastAsiaTheme="minorEastAsia"/>
          <w:b/>
          <w:bCs/>
          <w:spacing w:val="-48"/>
          <w:sz w:val="21"/>
          <w:szCs w:val="21"/>
        </w:rPr>
        <w:t>）</w:t>
      </w:r>
      <w:r>
        <w:rPr>
          <w:rFonts w:cs="Times New Roman" w:asciiTheme="minorEastAsia" w:hAnsiTheme="minorEastAsia" w:eastAsiaTheme="minorEastAsia"/>
          <w:b/>
          <w:bCs/>
          <w:sz w:val="21"/>
          <w:szCs w:val="21"/>
        </w:rPr>
        <w:t>比赛结束时，参赛选手应立即停止操作，不得以任何理由拖延比赛时间。</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bookmarkStart w:id="34" w:name="（一）日程安排"/>
      <w:bookmarkEnd w:id="34"/>
      <w:bookmarkStart w:id="35" w:name="十、技术规范"/>
      <w:bookmarkEnd w:id="35"/>
      <w:bookmarkStart w:id="36" w:name="（三）赛项时间及流程安排"/>
      <w:bookmarkEnd w:id="36"/>
      <w:r>
        <w:rPr>
          <w:rFonts w:cs="Times New Roman" w:asciiTheme="minorEastAsia" w:hAnsiTheme="minorEastAsia" w:eastAsiaTheme="minorEastAsia"/>
          <w:b/>
          <w:bCs/>
          <w:sz w:val="21"/>
          <w:szCs w:val="21"/>
        </w:rPr>
        <w:t>九、技术规范</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sz w:val="21"/>
          <w:szCs w:val="21"/>
        </w:rPr>
      </w:pPr>
      <w:bookmarkStart w:id="37" w:name="（一）政策标准"/>
      <w:bookmarkEnd w:id="37"/>
      <w:r>
        <w:rPr>
          <w:rFonts w:cs="Times New Roman" w:asciiTheme="minorEastAsia" w:hAnsiTheme="minorEastAsia" w:eastAsiaTheme="minorEastAsia"/>
          <w:sz w:val="21"/>
          <w:szCs w:val="21"/>
        </w:rPr>
        <w:t>（一）政策标准</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以</w:t>
      </w:r>
      <w:r>
        <w:rPr>
          <w:rFonts w:hint="eastAsia" w:cs="Times New Roman" w:asciiTheme="minorEastAsia" w:hAnsiTheme="minorEastAsia" w:eastAsiaTheme="minorEastAsia"/>
          <w:sz w:val="21"/>
          <w:szCs w:val="21"/>
        </w:rPr>
        <w:t>相关部门</w:t>
      </w:r>
      <w:r>
        <w:rPr>
          <w:rFonts w:cs="Times New Roman" w:asciiTheme="minorEastAsia" w:hAnsiTheme="minorEastAsia" w:eastAsiaTheme="minorEastAsia"/>
          <w:sz w:val="21"/>
          <w:szCs w:val="21"/>
        </w:rPr>
        <w:t>正式发布的“商务数据分析与应用专业教学标准” 以及赛项所覆盖的其他专业人才培养方案为基本范围和基本要求。</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sz w:val="21"/>
          <w:szCs w:val="21"/>
        </w:rPr>
      </w:pPr>
      <w:bookmarkStart w:id="38" w:name="（二）行业、职业技术标准"/>
      <w:bookmarkEnd w:id="38"/>
      <w:r>
        <w:rPr>
          <w:rFonts w:cs="Times New Roman" w:asciiTheme="minorEastAsia" w:hAnsiTheme="minorEastAsia" w:eastAsiaTheme="minorEastAsia"/>
          <w:sz w:val="21"/>
          <w:szCs w:val="21"/>
        </w:rPr>
        <w:t>（二）行业、职业技术标准</w:t>
      </w:r>
    </w:p>
    <w:p>
      <w:pPr>
        <w:pStyle w:val="14"/>
        <w:pageBreakBefore w:val="0"/>
        <w:widowControl w:val="0"/>
        <w:tabs>
          <w:tab w:val="left" w:pos="1127"/>
        </w:tabs>
        <w:kinsoku/>
        <w:wordWrap/>
        <w:overflowPunct/>
        <w:topLinePunct w:val="0"/>
        <w:bidi w:val="0"/>
        <w:adjustRightInd/>
        <w:snapToGrid/>
        <w:spacing w:line="360" w:lineRule="auto"/>
        <w:ind w:left="0" w:firstLine="420" w:firstLineChars="200"/>
        <w:jc w:val="both"/>
        <w:textAlignment w:val="auto"/>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1、</w:t>
      </w:r>
      <w:r>
        <w:rPr>
          <w:rFonts w:cs="Times New Roman" w:asciiTheme="minorEastAsia" w:hAnsiTheme="minorEastAsia" w:eastAsiaTheme="minorEastAsia"/>
          <w:sz w:val="21"/>
          <w:szCs w:val="21"/>
          <w:lang w:val="en-US"/>
        </w:rPr>
        <w:t>行业标准</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01"/>
        <w:gridCol w:w="58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8" w:hRule="atLeast"/>
          <w:jc w:val="center"/>
        </w:trPr>
        <w:tc>
          <w:tcPr>
            <w:tcW w:w="280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b/>
                <w:sz w:val="18"/>
                <w:szCs w:val="18"/>
              </w:rPr>
            </w:pPr>
            <w:r>
              <w:rPr>
                <w:rFonts w:cs="Times New Roman" w:asciiTheme="minorEastAsia" w:hAnsiTheme="minorEastAsia" w:eastAsiaTheme="minorEastAsia"/>
                <w:b/>
                <w:sz w:val="18"/>
                <w:szCs w:val="18"/>
              </w:rPr>
              <w:t>标准</w:t>
            </w:r>
          </w:p>
        </w:tc>
        <w:tc>
          <w:tcPr>
            <w:tcW w:w="589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b/>
                <w:sz w:val="18"/>
                <w:szCs w:val="18"/>
              </w:rPr>
            </w:pPr>
            <w:r>
              <w:rPr>
                <w:rFonts w:cs="Times New Roman" w:asciiTheme="minorEastAsia" w:hAnsiTheme="minorEastAsia" w:eastAsiaTheme="minorEastAsia"/>
                <w:b/>
                <w:sz w:val="18"/>
                <w:szCs w:val="18"/>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jc w:val="center"/>
        </w:trPr>
        <w:tc>
          <w:tcPr>
            <w:tcW w:w="280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sz w:val="18"/>
                <w:szCs w:val="18"/>
              </w:rPr>
            </w:pPr>
            <w:r>
              <w:rPr>
                <w:rFonts w:cs="Times New Roman" w:asciiTheme="minorEastAsia" w:hAnsiTheme="minorEastAsia" w:eastAsiaTheme="minorEastAsia"/>
                <w:sz w:val="18"/>
                <w:szCs w:val="18"/>
              </w:rPr>
              <w:t>GB/T 35274-2017</w:t>
            </w:r>
          </w:p>
        </w:tc>
        <w:tc>
          <w:tcPr>
            <w:tcW w:w="589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sz w:val="18"/>
                <w:szCs w:val="18"/>
              </w:rPr>
            </w:pPr>
            <w:r>
              <w:rPr>
                <w:rFonts w:cs="Times New Roman" w:asciiTheme="minorEastAsia" w:hAnsiTheme="minorEastAsia" w:eastAsiaTheme="minorEastAsia"/>
                <w:sz w:val="18"/>
                <w:szCs w:val="18"/>
              </w:rPr>
              <w:t>信息安全技术</w:t>
            </w:r>
            <w:r>
              <w:rPr>
                <w:rFonts w:cs="Times New Roman" w:asciiTheme="minorEastAsia" w:hAnsiTheme="minorEastAsia" w:eastAsiaTheme="minorEastAsia"/>
                <w:sz w:val="18"/>
                <w:szCs w:val="18"/>
              </w:rPr>
              <w:tab/>
            </w:r>
            <w:r>
              <w:rPr>
                <w:rFonts w:cs="Times New Roman" w:asciiTheme="minorEastAsia" w:hAnsiTheme="minorEastAsia" w:eastAsiaTheme="minorEastAsia"/>
                <w:sz w:val="18"/>
                <w:szCs w:val="18"/>
              </w:rPr>
              <w:t>大数据服务安全能力要求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280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sz w:val="18"/>
                <w:szCs w:val="18"/>
              </w:rPr>
            </w:pPr>
            <w:r>
              <w:rPr>
                <w:rFonts w:cs="Times New Roman" w:asciiTheme="minorEastAsia" w:hAnsiTheme="minorEastAsia" w:eastAsiaTheme="minorEastAsia"/>
                <w:sz w:val="18"/>
                <w:szCs w:val="18"/>
              </w:rPr>
              <w:t>GB/T</w:t>
            </w:r>
            <w:r>
              <w:rPr>
                <w:rFonts w:cs="Times New Roman" w:asciiTheme="minorEastAsia" w:hAnsiTheme="minorEastAsia" w:eastAsiaTheme="minorEastAsia"/>
                <w:sz w:val="18"/>
                <w:szCs w:val="18"/>
                <w:lang w:val="en-US"/>
              </w:rPr>
              <w:t xml:space="preserve"> </w:t>
            </w:r>
            <w:r>
              <w:rPr>
                <w:rFonts w:cs="Times New Roman" w:asciiTheme="minorEastAsia" w:hAnsiTheme="minorEastAsia" w:eastAsiaTheme="minorEastAsia"/>
                <w:sz w:val="18"/>
                <w:szCs w:val="18"/>
              </w:rPr>
              <w:t>35295-2017</w:t>
            </w:r>
          </w:p>
        </w:tc>
        <w:tc>
          <w:tcPr>
            <w:tcW w:w="589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sz w:val="18"/>
                <w:szCs w:val="18"/>
              </w:rPr>
            </w:pPr>
            <w:r>
              <w:rPr>
                <w:rFonts w:cs="Times New Roman" w:asciiTheme="minorEastAsia" w:hAnsiTheme="minorEastAsia" w:eastAsiaTheme="minorEastAsia"/>
                <w:sz w:val="18"/>
                <w:szCs w:val="18"/>
              </w:rPr>
              <w:t>信息技术大数据术语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280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sz w:val="18"/>
                <w:szCs w:val="18"/>
              </w:rPr>
            </w:pPr>
            <w:r>
              <w:rPr>
                <w:rFonts w:cs="Times New Roman" w:asciiTheme="minorEastAsia" w:hAnsiTheme="minorEastAsia" w:eastAsiaTheme="minorEastAsia"/>
                <w:sz w:val="18"/>
                <w:szCs w:val="18"/>
              </w:rPr>
              <w:t>GB/T</w:t>
            </w:r>
            <w:r>
              <w:rPr>
                <w:rFonts w:cs="Times New Roman" w:asciiTheme="minorEastAsia" w:hAnsiTheme="minorEastAsia" w:eastAsiaTheme="minorEastAsia"/>
                <w:sz w:val="18"/>
                <w:szCs w:val="18"/>
                <w:lang w:val="en-US"/>
              </w:rPr>
              <w:t xml:space="preserve"> </w:t>
            </w:r>
            <w:r>
              <w:rPr>
                <w:rFonts w:cs="Times New Roman" w:asciiTheme="minorEastAsia" w:hAnsiTheme="minorEastAsia" w:eastAsiaTheme="minorEastAsia"/>
                <w:sz w:val="18"/>
                <w:szCs w:val="18"/>
              </w:rPr>
              <w:t>35589-2017</w:t>
            </w:r>
          </w:p>
        </w:tc>
        <w:tc>
          <w:tcPr>
            <w:tcW w:w="5891" w:type="dxa"/>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sz w:val="18"/>
                <w:szCs w:val="18"/>
              </w:rPr>
            </w:pPr>
            <w:r>
              <w:rPr>
                <w:rFonts w:cs="Times New Roman" w:asciiTheme="minorEastAsia" w:hAnsiTheme="minorEastAsia" w:eastAsiaTheme="minorEastAsia"/>
                <w:sz w:val="18"/>
                <w:szCs w:val="18"/>
              </w:rPr>
              <w:t>信息技术大数据技术参考模型</w:t>
            </w:r>
          </w:p>
        </w:tc>
      </w:tr>
    </w:tbl>
    <w:p>
      <w:pPr>
        <w:pStyle w:val="14"/>
        <w:pageBreakBefore w:val="0"/>
        <w:widowControl w:val="0"/>
        <w:tabs>
          <w:tab w:val="left" w:pos="1127"/>
        </w:tabs>
        <w:kinsoku/>
        <w:wordWrap/>
        <w:overflowPunct/>
        <w:topLinePunct w:val="0"/>
        <w:bidi w:val="0"/>
        <w:adjustRightInd/>
        <w:snapToGrid/>
        <w:spacing w:line="360" w:lineRule="auto"/>
        <w:ind w:left="0" w:firstLine="420" w:firstLineChars="200"/>
        <w:jc w:val="both"/>
        <w:textAlignment w:val="auto"/>
        <w:rPr>
          <w:rFonts w:hint="eastAsia" w:cs="Times New Roman" w:asciiTheme="minorEastAsia" w:hAnsiTheme="minorEastAsia" w:eastAsiaTheme="minorEastAsia"/>
          <w:sz w:val="21"/>
          <w:szCs w:val="21"/>
          <w:lang w:val="en-US"/>
        </w:rPr>
      </w:pPr>
    </w:p>
    <w:p>
      <w:pPr>
        <w:pStyle w:val="14"/>
        <w:pageBreakBefore w:val="0"/>
        <w:widowControl w:val="0"/>
        <w:tabs>
          <w:tab w:val="left" w:pos="1127"/>
        </w:tabs>
        <w:kinsoku/>
        <w:wordWrap/>
        <w:overflowPunct/>
        <w:topLinePunct w:val="0"/>
        <w:bidi w:val="0"/>
        <w:adjustRightInd/>
        <w:snapToGrid/>
        <w:spacing w:line="360" w:lineRule="auto"/>
        <w:ind w:left="0" w:firstLine="420" w:firstLineChars="200"/>
        <w:jc w:val="both"/>
        <w:textAlignment w:val="auto"/>
        <w:rPr>
          <w:rFonts w:cs="Times New Roman" w:asciiTheme="minorEastAsia" w:hAnsiTheme="minorEastAsia" w:eastAsiaTheme="minorEastAsia"/>
          <w:sz w:val="21"/>
          <w:szCs w:val="21"/>
          <w:lang w:val="en-US"/>
        </w:rPr>
      </w:pPr>
      <w:r>
        <w:rPr>
          <w:rFonts w:hint="eastAsia" w:cs="Times New Roman" w:asciiTheme="minorEastAsia" w:hAnsiTheme="minorEastAsia" w:eastAsiaTheme="minorEastAsia"/>
          <w:sz w:val="21"/>
          <w:szCs w:val="21"/>
          <w:lang w:val="en-US"/>
        </w:rPr>
        <w:t>2、</w:t>
      </w:r>
      <w:r>
        <w:rPr>
          <w:rFonts w:cs="Times New Roman" w:asciiTheme="minorEastAsia" w:hAnsiTheme="minorEastAsia" w:eastAsiaTheme="minorEastAsia"/>
          <w:sz w:val="21"/>
          <w:szCs w:val="21"/>
          <w:lang w:val="en-US"/>
        </w:rPr>
        <w:t>文档标准</w:t>
      </w:r>
    </w:p>
    <w:tbl>
      <w:tblPr>
        <w:tblStyle w:val="9"/>
        <w:tblW w:w="475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667"/>
        <w:gridCol w:w="65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jc w:val="center"/>
        </w:trPr>
        <w:tc>
          <w:tcPr>
            <w:tcW w:w="1449" w:type="pct"/>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b/>
                <w:sz w:val="18"/>
                <w:szCs w:val="18"/>
              </w:rPr>
            </w:pPr>
            <w:r>
              <w:rPr>
                <w:rFonts w:cs="Times New Roman" w:asciiTheme="minorEastAsia" w:hAnsiTheme="minorEastAsia" w:eastAsiaTheme="minorEastAsia"/>
                <w:b/>
                <w:sz w:val="18"/>
                <w:szCs w:val="18"/>
              </w:rPr>
              <w:t>标准</w:t>
            </w:r>
          </w:p>
        </w:tc>
        <w:tc>
          <w:tcPr>
            <w:tcW w:w="3550" w:type="pct"/>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b/>
                <w:sz w:val="18"/>
                <w:szCs w:val="18"/>
              </w:rPr>
            </w:pPr>
            <w:r>
              <w:rPr>
                <w:rFonts w:cs="Times New Roman" w:asciiTheme="minorEastAsia" w:hAnsiTheme="minorEastAsia" w:eastAsiaTheme="minorEastAsia"/>
                <w:b/>
                <w:sz w:val="18"/>
                <w:szCs w:val="18"/>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1449" w:type="pct"/>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bCs/>
                <w:sz w:val="18"/>
                <w:szCs w:val="18"/>
              </w:rPr>
            </w:pPr>
            <w:r>
              <w:rPr>
                <w:rFonts w:cs="Times New Roman" w:asciiTheme="minorEastAsia" w:hAnsiTheme="minorEastAsia" w:eastAsiaTheme="minorEastAsia"/>
                <w:bCs/>
                <w:sz w:val="18"/>
                <w:szCs w:val="18"/>
              </w:rPr>
              <w:t>GB/T 32424-2015</w:t>
            </w:r>
          </w:p>
        </w:tc>
        <w:tc>
          <w:tcPr>
            <w:tcW w:w="3550" w:type="pct"/>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bCs/>
                <w:sz w:val="18"/>
                <w:szCs w:val="18"/>
              </w:rPr>
            </w:pPr>
            <w:r>
              <w:rPr>
                <w:rFonts w:cs="Times New Roman" w:asciiTheme="minorEastAsia" w:hAnsiTheme="minorEastAsia" w:eastAsiaTheme="minorEastAsia"/>
                <w:bCs/>
                <w:sz w:val="18"/>
                <w:szCs w:val="18"/>
              </w:rPr>
              <w:t>系统与软件工程用户文档的设计者和开发者要求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449" w:type="pct"/>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bCs/>
                <w:sz w:val="18"/>
                <w:szCs w:val="18"/>
              </w:rPr>
            </w:pPr>
            <w:r>
              <w:rPr>
                <w:rFonts w:cs="Times New Roman" w:asciiTheme="minorEastAsia" w:hAnsiTheme="minorEastAsia" w:eastAsiaTheme="minorEastAsia"/>
                <w:bCs/>
                <w:sz w:val="18"/>
                <w:szCs w:val="18"/>
              </w:rPr>
              <w:t>GB/T 8567-2006</w:t>
            </w:r>
          </w:p>
        </w:tc>
        <w:tc>
          <w:tcPr>
            <w:tcW w:w="3550" w:type="pct"/>
            <w:vAlign w:val="center"/>
          </w:tcPr>
          <w:p>
            <w:pPr>
              <w:pStyle w:val="15"/>
              <w:pageBreakBefore w:val="0"/>
              <w:widowControl w:val="0"/>
              <w:kinsoku/>
              <w:wordWrap/>
              <w:overflowPunct/>
              <w:topLinePunct w:val="0"/>
              <w:bidi w:val="0"/>
              <w:adjustRightInd/>
              <w:snapToGrid/>
              <w:spacing w:line="360" w:lineRule="auto"/>
              <w:jc w:val="center"/>
              <w:textAlignment w:val="auto"/>
              <w:rPr>
                <w:rFonts w:cs="Times New Roman" w:asciiTheme="minorEastAsia" w:hAnsiTheme="minorEastAsia" w:eastAsiaTheme="minorEastAsia"/>
                <w:bCs/>
                <w:sz w:val="18"/>
                <w:szCs w:val="18"/>
              </w:rPr>
            </w:pPr>
            <w:r>
              <w:rPr>
                <w:rFonts w:cs="Times New Roman" w:asciiTheme="minorEastAsia" w:hAnsiTheme="minorEastAsia" w:eastAsiaTheme="minorEastAsia"/>
                <w:bCs/>
                <w:sz w:val="18"/>
                <w:szCs w:val="18"/>
              </w:rPr>
              <w:t>计算机软件文档编制规范</w:t>
            </w:r>
          </w:p>
        </w:tc>
      </w:tr>
    </w:tbl>
    <w:p>
      <w:pPr>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bookmarkStart w:id="39" w:name="十一、竞赛相关规定"/>
      <w:bookmarkEnd w:id="39"/>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bookmarkStart w:id="40" w:name="十二、参赛费用"/>
      <w:bookmarkEnd w:id="40"/>
      <w:r>
        <w:rPr>
          <w:rFonts w:hint="eastAsia" w:cs="Times New Roman" w:asciiTheme="minorEastAsia" w:hAnsiTheme="minorEastAsia" w:eastAsiaTheme="minorEastAsia"/>
          <w:b/>
          <w:bCs/>
          <w:sz w:val="21"/>
          <w:szCs w:val="21"/>
        </w:rPr>
        <w:t>十、</w:t>
      </w:r>
      <w:r>
        <w:rPr>
          <w:rFonts w:cs="Times New Roman" w:asciiTheme="minorEastAsia" w:hAnsiTheme="minorEastAsia" w:eastAsiaTheme="minorEastAsia"/>
          <w:b/>
          <w:bCs/>
          <w:sz w:val="21"/>
          <w:szCs w:val="21"/>
        </w:rPr>
        <w:t>竞赛平台</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b/>
          <w:bCs/>
          <w:sz w:val="21"/>
          <w:szCs w:val="21"/>
        </w:rPr>
      </w:pPr>
      <w:r>
        <w:rPr>
          <w:rFonts w:cs="Times New Roman" w:asciiTheme="minorEastAsia" w:hAnsiTheme="minorEastAsia" w:eastAsiaTheme="minorEastAsia"/>
          <w:sz w:val="21"/>
          <w:szCs w:val="21"/>
        </w:rPr>
        <w:t>竞赛平台</w:t>
      </w:r>
      <w:r>
        <w:rPr>
          <w:rFonts w:hint="eastAsia" w:cs="Times New Roman" w:asciiTheme="minorEastAsia" w:hAnsiTheme="minorEastAsia" w:eastAsiaTheme="minorEastAsia"/>
          <w:sz w:val="21"/>
          <w:szCs w:val="21"/>
        </w:rPr>
        <w:t>紧贴行业实际，不采用模拟系统，与当前大数据产业中通用型最强、适应范围最广的主流系统保持一致性，主要功能参数符合国家标准。竞赛平台在企业级应用平台的基础上进行改造，</w:t>
      </w:r>
      <w:r>
        <w:rPr>
          <w:rFonts w:cs="Times New Roman" w:asciiTheme="minorEastAsia" w:hAnsiTheme="minorEastAsia" w:eastAsiaTheme="minorEastAsia"/>
          <w:sz w:val="21"/>
          <w:szCs w:val="21"/>
        </w:rPr>
        <w:t>采用</w:t>
      </w:r>
      <w:r>
        <w:rPr>
          <w:rFonts w:cs="Times New Roman" w:asciiTheme="minorEastAsia" w:hAnsiTheme="minorEastAsia" w:eastAsiaTheme="minorEastAsia"/>
          <w:sz w:val="21"/>
          <w:szCs w:val="21"/>
          <w:lang w:val="en-US"/>
        </w:rPr>
        <w:t>B/S架构部署，由技术支持单位提供数据源、案例库、分析模型等</w:t>
      </w:r>
      <w:r>
        <w:rPr>
          <w:rFonts w:hint="eastAsia" w:cs="Times New Roman" w:asciiTheme="minorEastAsia" w:hAnsiTheme="minorEastAsia" w:eastAsiaTheme="minorEastAsia"/>
          <w:sz w:val="21"/>
          <w:szCs w:val="21"/>
          <w:lang w:val="en-US"/>
        </w:rPr>
        <w:t>服务</w:t>
      </w:r>
      <w:r>
        <w:rPr>
          <w:rFonts w:cs="Times New Roman" w:asciiTheme="minorEastAsia" w:hAnsiTheme="minorEastAsia" w:eastAsiaTheme="minorEastAsia"/>
          <w:sz w:val="21"/>
          <w:szCs w:val="21"/>
          <w:lang w:val="en-US"/>
        </w:rPr>
        <w:t>支持。平台包含支撑层、数据治理层、数据加工厂、数据源管理和服务层等模块；平台支撑层采用底层框架技术，通过IDI引擎、任务调度、权限控制、安全管理等，为数仓模型和ETL设计提供组件化服务和计算引擎。</w:t>
      </w:r>
      <w:r>
        <w:rPr>
          <w:rFonts w:cs="Times New Roman" w:asciiTheme="minorEastAsia" w:hAnsiTheme="minorEastAsia" w:eastAsiaTheme="minorEastAsia"/>
          <w:sz w:val="21"/>
          <w:szCs w:val="21"/>
        </w:rPr>
        <w:t>本赛项竞赛平台经过两届全国大赛、各省赛、区域比赛的检验，众多学生参与了赛前网</w:t>
      </w:r>
      <w:r>
        <w:rPr>
          <w:rFonts w:cs="Times New Roman" w:asciiTheme="minorEastAsia" w:hAnsiTheme="minorEastAsia" w:eastAsiaTheme="minorEastAsia"/>
          <w:b/>
          <w:bCs/>
          <w:sz w:val="21"/>
          <w:szCs w:val="21"/>
        </w:rPr>
        <w:t>络练习，经过大用户量使用，操作简便，性能成熟稳定。</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bookmarkStart w:id="41" w:name="十三、奖项设置"/>
      <w:bookmarkEnd w:id="41"/>
      <w:r>
        <w:rPr>
          <w:rFonts w:cs="Times New Roman" w:asciiTheme="minorEastAsia" w:hAnsiTheme="minorEastAsia" w:eastAsiaTheme="minorEastAsia"/>
          <w:b/>
          <w:bCs/>
          <w:sz w:val="21"/>
          <w:szCs w:val="21"/>
        </w:rPr>
        <w:t>十</w:t>
      </w:r>
      <w:r>
        <w:rPr>
          <w:rFonts w:hint="eastAsia" w:cs="Times New Roman" w:asciiTheme="minorEastAsia" w:hAnsiTheme="minorEastAsia" w:eastAsiaTheme="minorEastAsia"/>
          <w:b/>
          <w:bCs/>
          <w:sz w:val="21"/>
          <w:szCs w:val="21"/>
        </w:rPr>
        <w:t>一</w:t>
      </w:r>
      <w:r>
        <w:rPr>
          <w:rFonts w:cs="Times New Roman" w:asciiTheme="minorEastAsia" w:hAnsiTheme="minorEastAsia" w:eastAsiaTheme="minorEastAsia"/>
          <w:b/>
          <w:bCs/>
          <w:sz w:val="21"/>
          <w:szCs w:val="21"/>
        </w:rPr>
        <w:t>、奖项设置</w:t>
      </w:r>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竞赛设一、二、三等奖，获奖比例分别为各组别参赛队伍数的10％、20％、30％，优秀奖若干名。同时对学生团队获</w:t>
      </w:r>
      <w:r>
        <w:rPr>
          <w:rFonts w:hint="eastAsia" w:cs="Times New Roman" w:asciiTheme="minorEastAsia" w:hAnsiTheme="minorEastAsia" w:eastAsiaTheme="minorEastAsia"/>
          <w:sz w:val="21"/>
          <w:szCs w:val="21"/>
        </w:rPr>
        <w:t>一等</w:t>
      </w:r>
      <w:r>
        <w:rPr>
          <w:rFonts w:cs="Times New Roman" w:asciiTheme="minorEastAsia" w:hAnsiTheme="minorEastAsia" w:eastAsiaTheme="minorEastAsia"/>
          <w:sz w:val="21"/>
          <w:szCs w:val="21"/>
        </w:rPr>
        <w:t>奖的指导教师颁发优秀指导教师奖，由甘肃省教育厅颁发获奖证书。</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bookmarkStart w:id="42" w:name="bookmark105"/>
      <w:bookmarkStart w:id="43" w:name="bookmark106"/>
      <w:bookmarkStart w:id="44" w:name="bookmark104"/>
      <w:bookmarkStart w:id="45" w:name="bookmark134"/>
      <w:bookmarkStart w:id="46" w:name="bookmark133"/>
      <w:bookmarkStart w:id="47" w:name="bookmark132"/>
      <w:r>
        <w:rPr>
          <w:rFonts w:hint="eastAsia" w:cs="Times New Roman" w:asciiTheme="minorEastAsia" w:hAnsiTheme="minorEastAsia" w:eastAsiaTheme="minorEastAsia"/>
          <w:b/>
          <w:bCs/>
          <w:sz w:val="21"/>
          <w:szCs w:val="21"/>
        </w:rPr>
        <w:t>十二、申诉与仲裁</w:t>
      </w:r>
      <w:bookmarkEnd w:id="42"/>
      <w:bookmarkEnd w:id="43"/>
      <w:bookmarkEnd w:id="44"/>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sz w:val="21"/>
          <w:szCs w:val="21"/>
        </w:rPr>
      </w:pPr>
      <w:bookmarkStart w:id="48" w:name="bookmark109"/>
      <w:bookmarkStart w:id="49" w:name="bookmark107"/>
      <w:bookmarkStart w:id="50" w:name="bookmark108"/>
      <w:bookmarkStart w:id="51" w:name="bookmark110"/>
      <w:r>
        <w:rPr>
          <w:rFonts w:hint="eastAsia" w:cs="Times New Roman" w:asciiTheme="minorEastAsia" w:hAnsiTheme="minorEastAsia" w:eastAsiaTheme="minorEastAsia"/>
          <w:sz w:val="21"/>
          <w:szCs w:val="21"/>
        </w:rPr>
        <w:t>（</w:t>
      </w:r>
      <w:bookmarkEnd w:id="48"/>
      <w:r>
        <w:rPr>
          <w:rFonts w:hint="eastAsia" w:cs="Times New Roman" w:asciiTheme="minorEastAsia" w:hAnsiTheme="minorEastAsia" w:eastAsiaTheme="minorEastAsia"/>
          <w:sz w:val="21"/>
          <w:szCs w:val="21"/>
        </w:rPr>
        <w:t>一）申诉</w:t>
      </w:r>
      <w:bookmarkEnd w:id="49"/>
      <w:bookmarkEnd w:id="50"/>
      <w:bookmarkEnd w:id="51"/>
    </w:p>
    <w:p>
      <w:pPr>
        <w:pStyle w:val="16"/>
        <w:pageBreakBefore w:val="0"/>
        <w:widowControl w:val="0"/>
        <w:kinsoku/>
        <w:wordWrap/>
        <w:overflowPunct/>
        <w:topLinePunct w:val="0"/>
        <w:bidi w:val="0"/>
        <w:adjustRightInd/>
        <w:snapToGrid/>
        <w:spacing w:line="360" w:lineRule="auto"/>
        <w:ind w:firstLine="420" w:firstLineChars="200"/>
        <w:jc w:val="both"/>
        <w:textAlignment w:val="auto"/>
        <w:rPr>
          <w:rFonts w:cs="仿宋" w:asciiTheme="minorEastAsia" w:hAnsiTheme="minorEastAsia" w:eastAsiaTheme="minorEastAsia"/>
          <w:sz w:val="21"/>
          <w:szCs w:val="21"/>
        </w:rPr>
      </w:pPr>
      <w:bookmarkStart w:id="52" w:name="bookmark111"/>
      <w:bookmarkEnd w:id="52"/>
      <w:r>
        <w:rPr>
          <w:rFonts w:hint="eastAsia" w:cs="仿宋" w:asciiTheme="minorEastAsia" w:hAnsiTheme="minorEastAsia" w:eastAsiaTheme="minorEastAsia"/>
          <w:sz w:val="21"/>
          <w:szCs w:val="21"/>
        </w:rPr>
        <w:t>参赛队对不符合竞赛规定的设备、工具、软件，有失公正的评判，以及对工作人员的违规行为等，均可提出申诉。</w:t>
      </w:r>
    </w:p>
    <w:p>
      <w:pPr>
        <w:pStyle w:val="16"/>
        <w:pageBreakBefore w:val="0"/>
        <w:widowControl w:val="0"/>
        <w:kinsoku/>
        <w:wordWrap/>
        <w:overflowPunct/>
        <w:topLinePunct w:val="0"/>
        <w:bidi w:val="0"/>
        <w:adjustRightInd/>
        <w:snapToGrid/>
        <w:spacing w:line="360" w:lineRule="auto"/>
        <w:ind w:firstLine="420" w:firstLineChars="200"/>
        <w:jc w:val="both"/>
        <w:textAlignment w:val="auto"/>
        <w:rPr>
          <w:rFonts w:cs="仿宋" w:asciiTheme="minorEastAsia" w:hAnsiTheme="minorEastAsia" w:eastAsiaTheme="minorEastAsia"/>
          <w:sz w:val="21"/>
          <w:szCs w:val="21"/>
        </w:rPr>
      </w:pPr>
      <w:bookmarkStart w:id="53" w:name="bookmark112"/>
      <w:bookmarkEnd w:id="53"/>
      <w:r>
        <w:rPr>
          <w:rFonts w:hint="eastAsia" w:cs="仿宋" w:asciiTheme="minorEastAsia" w:hAnsiTheme="minorEastAsia" w:eastAsiaTheme="minorEastAsia"/>
          <w:sz w:val="21"/>
          <w:szCs w:val="21"/>
        </w:rPr>
        <w:t>申诉应在竞赛结束后2小时内提出，超过时效将不予受理。申诉时，应按照规定的程序由参赛队领队向所在赛项裁判长递交书面申诉报告。报告应对申诉事件的现象、发生的时间、涉及到的人员、申诉依据与理由等进行充分、实事求是的叙述。事实依据不充分、仅凭主观臆断的申诉将不予受理。申诉报告须有申诉的参赛选手、领队签名。</w:t>
      </w:r>
    </w:p>
    <w:p>
      <w:pPr>
        <w:pStyle w:val="16"/>
        <w:pageBreakBefore w:val="0"/>
        <w:widowControl w:val="0"/>
        <w:kinsoku/>
        <w:wordWrap/>
        <w:overflowPunct/>
        <w:topLinePunct w:val="0"/>
        <w:bidi w:val="0"/>
        <w:adjustRightInd/>
        <w:snapToGrid/>
        <w:spacing w:line="360" w:lineRule="auto"/>
        <w:ind w:firstLine="420" w:firstLineChars="200"/>
        <w:jc w:val="both"/>
        <w:textAlignment w:val="auto"/>
        <w:rPr>
          <w:rFonts w:cs="仿宋" w:asciiTheme="minorEastAsia" w:hAnsiTheme="minorEastAsia" w:eastAsiaTheme="minorEastAsia"/>
          <w:sz w:val="21"/>
          <w:szCs w:val="21"/>
        </w:rPr>
      </w:pPr>
      <w:bookmarkStart w:id="54" w:name="bookmark113"/>
      <w:bookmarkEnd w:id="54"/>
      <w:r>
        <w:rPr>
          <w:rFonts w:hint="eastAsia" w:cs="仿宋" w:asciiTheme="minorEastAsia" w:hAnsiTheme="minorEastAsia" w:eastAsiaTheme="minorEastAsia"/>
          <w:sz w:val="21"/>
          <w:szCs w:val="21"/>
        </w:rPr>
        <w:t>赛项裁判长收到申诉报告后，应根据申诉事由组织裁判团队进行审查，2小时内书面通知申诉方，告知申诉处理结果。</w:t>
      </w:r>
    </w:p>
    <w:p>
      <w:pPr>
        <w:pStyle w:val="16"/>
        <w:pageBreakBefore w:val="0"/>
        <w:widowControl w:val="0"/>
        <w:kinsoku/>
        <w:wordWrap/>
        <w:overflowPunct/>
        <w:topLinePunct w:val="0"/>
        <w:bidi w:val="0"/>
        <w:adjustRightInd/>
        <w:snapToGrid/>
        <w:spacing w:line="360" w:lineRule="auto"/>
        <w:ind w:firstLine="420" w:firstLineChars="200"/>
        <w:jc w:val="both"/>
        <w:textAlignment w:val="auto"/>
        <w:rPr>
          <w:rFonts w:cs="仿宋" w:asciiTheme="minorEastAsia" w:hAnsiTheme="minorEastAsia" w:eastAsiaTheme="minorEastAsia"/>
          <w:sz w:val="21"/>
          <w:szCs w:val="21"/>
        </w:rPr>
      </w:pPr>
      <w:bookmarkStart w:id="55" w:name="bookmark114"/>
      <w:bookmarkEnd w:id="55"/>
      <w:r>
        <w:rPr>
          <w:rFonts w:hint="eastAsia" w:cs="仿宋" w:asciiTheme="minorEastAsia" w:hAnsiTheme="minorEastAsia" w:eastAsiaTheme="minorEastAsia"/>
          <w:sz w:val="21"/>
          <w:szCs w:val="21"/>
        </w:rPr>
        <w:t>申诉人不得无故拒不接受处理结果，不允许采取过激行为刁难、攻击工作人员，否则视为放弃申诉。申诉人不满意赛项裁判长的处理结果的，可向大赛仲裁组提出书面申请复议，复议申请须有参赛单位盖章。</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sz w:val="21"/>
          <w:szCs w:val="21"/>
        </w:rPr>
      </w:pPr>
      <w:bookmarkStart w:id="56" w:name="bookmark117"/>
      <w:bookmarkStart w:id="57" w:name="bookmark118"/>
      <w:bookmarkStart w:id="58" w:name="bookmark115"/>
      <w:bookmarkStart w:id="59" w:name="bookmark116"/>
      <w:r>
        <w:rPr>
          <w:rFonts w:hint="eastAsia" w:cs="Times New Roman" w:asciiTheme="minorEastAsia" w:hAnsiTheme="minorEastAsia" w:eastAsiaTheme="minorEastAsia"/>
          <w:sz w:val="21"/>
          <w:szCs w:val="21"/>
        </w:rPr>
        <w:t>（</w:t>
      </w:r>
      <w:bookmarkEnd w:id="56"/>
      <w:r>
        <w:rPr>
          <w:rFonts w:hint="eastAsia" w:cs="Times New Roman" w:asciiTheme="minorEastAsia" w:hAnsiTheme="minorEastAsia" w:eastAsiaTheme="minorEastAsia"/>
          <w:sz w:val="21"/>
          <w:szCs w:val="21"/>
        </w:rPr>
        <w:t>二）仲裁</w:t>
      </w:r>
      <w:bookmarkEnd w:id="57"/>
      <w:bookmarkEnd w:id="58"/>
      <w:bookmarkEnd w:id="59"/>
    </w:p>
    <w:p>
      <w:pPr>
        <w:pStyle w:val="16"/>
        <w:pageBreakBefore w:val="0"/>
        <w:widowControl w:val="0"/>
        <w:kinsoku/>
        <w:wordWrap/>
        <w:overflowPunct/>
        <w:topLinePunct w:val="0"/>
        <w:bidi w:val="0"/>
        <w:adjustRightInd/>
        <w:snapToGrid/>
        <w:spacing w:line="360" w:lineRule="auto"/>
        <w:ind w:firstLine="420" w:firstLineChars="200"/>
        <w:jc w:val="both"/>
        <w:textAlignment w:val="auto"/>
        <w:rPr>
          <w:rFonts w:cs="仿宋" w:asciiTheme="minorEastAsia" w:hAnsiTheme="minorEastAsia" w:eastAsiaTheme="minorEastAsia"/>
          <w:sz w:val="21"/>
          <w:szCs w:val="21"/>
        </w:rPr>
      </w:pPr>
      <w:bookmarkStart w:id="60" w:name="bookmark119"/>
      <w:bookmarkEnd w:id="60"/>
      <w:r>
        <w:rPr>
          <w:rFonts w:hint="eastAsia" w:cs="仿宋" w:asciiTheme="minorEastAsia" w:hAnsiTheme="minorEastAsia" w:eastAsiaTheme="minorEastAsia"/>
          <w:sz w:val="21"/>
          <w:szCs w:val="21"/>
        </w:rPr>
        <w:t>大赛仲裁组负责受理大赛中出现的申诉复议并进行仲裁，以保证竞赛顺利进行和竞赛结果公平、公正。</w:t>
      </w:r>
    </w:p>
    <w:p>
      <w:pPr>
        <w:pStyle w:val="16"/>
        <w:pageBreakBefore w:val="0"/>
        <w:widowControl w:val="0"/>
        <w:kinsoku/>
        <w:wordWrap/>
        <w:overflowPunct/>
        <w:topLinePunct w:val="0"/>
        <w:bidi w:val="0"/>
        <w:adjustRightInd/>
        <w:snapToGrid/>
        <w:spacing w:line="360" w:lineRule="auto"/>
        <w:ind w:firstLine="420" w:firstLineChars="200"/>
        <w:jc w:val="both"/>
        <w:textAlignment w:val="auto"/>
        <w:rPr>
          <w:rFonts w:cs="仿宋" w:asciiTheme="minorEastAsia" w:hAnsiTheme="minorEastAsia" w:eastAsiaTheme="minorEastAsia"/>
          <w:sz w:val="21"/>
          <w:szCs w:val="21"/>
        </w:rPr>
      </w:pPr>
      <w:bookmarkStart w:id="61" w:name="bookmark120"/>
      <w:bookmarkEnd w:id="61"/>
      <w:r>
        <w:rPr>
          <w:rFonts w:hint="eastAsia" w:cs="仿宋" w:asciiTheme="minorEastAsia" w:hAnsiTheme="minorEastAsia" w:eastAsiaTheme="minorEastAsia"/>
          <w:sz w:val="21"/>
          <w:szCs w:val="21"/>
        </w:rPr>
        <w:t>仲裁组的裁决为最终裁决，参赛队不得因申诉或对仲裁处理意见不服而停止比赛或滋事，否则按弃权处理。</w:t>
      </w:r>
    </w:p>
    <w:bookmarkEnd w:id="45"/>
    <w:bookmarkEnd w:id="46"/>
    <w:bookmarkEnd w:id="47"/>
    <w:p>
      <w:pPr>
        <w:pStyle w:val="17"/>
        <w:keepNext/>
        <w:keepLines/>
        <w:pageBreakBefore w:val="0"/>
        <w:widowControl w:val="0"/>
        <w:kinsoku/>
        <w:wordWrap/>
        <w:overflowPunct/>
        <w:topLinePunct w:val="0"/>
        <w:bidi w:val="0"/>
        <w:adjustRightInd/>
        <w:snapToGrid/>
        <w:spacing w:line="360" w:lineRule="auto"/>
        <w:ind w:firstLine="640"/>
        <w:jc w:val="both"/>
        <w:textAlignment w:val="auto"/>
        <w:rPr>
          <w:rFonts w:cs="Times New Roman" w:asciiTheme="minorEastAsia" w:hAnsiTheme="minorEastAsia" w:eastAsiaTheme="minorEastAsia"/>
          <w:b/>
          <w:bCs/>
          <w:sz w:val="21"/>
          <w:szCs w:val="21"/>
          <w:lang w:val="zh-CN" w:eastAsia="zh-CN" w:bidi="zh-CN"/>
        </w:rPr>
      </w:pPr>
      <w:bookmarkStart w:id="62" w:name="bookmark179"/>
      <w:bookmarkStart w:id="63" w:name="bookmark177"/>
      <w:bookmarkStart w:id="64" w:name="bookmark178"/>
      <w:r>
        <w:rPr>
          <w:rFonts w:cs="Times New Roman" w:asciiTheme="minorEastAsia" w:hAnsiTheme="minorEastAsia" w:eastAsiaTheme="minorEastAsia"/>
          <w:b/>
          <w:bCs/>
          <w:sz w:val="21"/>
          <w:szCs w:val="21"/>
          <w:lang w:val="zh-CN" w:eastAsia="zh-CN" w:bidi="zh-CN"/>
        </w:rPr>
        <w:t>十</w:t>
      </w:r>
      <w:r>
        <w:rPr>
          <w:rFonts w:hint="eastAsia" w:cs="Times New Roman" w:asciiTheme="minorEastAsia" w:hAnsiTheme="minorEastAsia" w:eastAsiaTheme="minorEastAsia"/>
          <w:b/>
          <w:bCs/>
          <w:sz w:val="21"/>
          <w:szCs w:val="21"/>
          <w:lang w:val="zh-CN" w:eastAsia="zh-CN" w:bidi="zh-CN"/>
        </w:rPr>
        <w:t>三</w:t>
      </w:r>
      <w:r>
        <w:rPr>
          <w:rFonts w:cs="Times New Roman" w:asciiTheme="minorEastAsia" w:hAnsiTheme="minorEastAsia" w:eastAsiaTheme="minorEastAsia"/>
          <w:b/>
          <w:bCs/>
          <w:sz w:val="21"/>
          <w:szCs w:val="21"/>
          <w:lang w:val="zh-CN" w:eastAsia="zh-CN" w:bidi="zh-CN"/>
        </w:rPr>
        <w:t>、竞赛须知</w:t>
      </w:r>
    </w:p>
    <w:p>
      <w:pPr>
        <w:pStyle w:val="18"/>
        <w:keepNext/>
        <w:keepLines/>
        <w:pageBreakBefore w:val="0"/>
        <w:widowControl w:val="0"/>
        <w:kinsoku/>
        <w:wordWrap/>
        <w:overflowPunct/>
        <w:topLinePunct w:val="0"/>
        <w:bidi w:val="0"/>
        <w:adjustRightInd/>
        <w:snapToGrid/>
        <w:spacing w:line="360" w:lineRule="auto"/>
        <w:ind w:firstLine="640"/>
        <w:jc w:val="both"/>
        <w:textAlignment w:val="auto"/>
        <w:rPr>
          <w:rFonts w:asciiTheme="minorEastAsia" w:hAnsiTheme="minorEastAsia" w:eastAsiaTheme="minorEastAsia"/>
          <w:sz w:val="21"/>
          <w:szCs w:val="21"/>
        </w:rPr>
      </w:pPr>
      <w:bookmarkStart w:id="65" w:name="bookmark135"/>
      <w:bookmarkStart w:id="66" w:name="bookmark136"/>
      <w:bookmarkStart w:id="67" w:name="bookmark137"/>
      <w:r>
        <w:rPr>
          <w:rFonts w:asciiTheme="minorEastAsia" w:hAnsiTheme="minorEastAsia" w:eastAsiaTheme="minorEastAsia"/>
          <w:sz w:val="21"/>
          <w:szCs w:val="21"/>
        </w:rPr>
        <w:t>（一）大赛人员须知。</w:t>
      </w:r>
      <w:bookmarkEnd w:id="65"/>
      <w:bookmarkEnd w:id="66"/>
      <w:bookmarkEnd w:id="67"/>
    </w:p>
    <w:p>
      <w:pPr>
        <w:pStyle w:val="16"/>
        <w:pageBreakBefore w:val="0"/>
        <w:widowControl w:val="0"/>
        <w:kinsoku/>
        <w:wordWrap/>
        <w:overflowPunct/>
        <w:topLinePunct w:val="0"/>
        <w:bidi w:val="0"/>
        <w:adjustRightInd/>
        <w:snapToGrid/>
        <w:spacing w:line="360" w:lineRule="auto"/>
        <w:ind w:firstLine="640"/>
        <w:jc w:val="both"/>
        <w:textAlignment w:val="auto"/>
        <w:rPr>
          <w:rFonts w:asciiTheme="minorEastAsia" w:hAnsiTheme="minorEastAsia" w:eastAsiaTheme="minorEastAsia"/>
          <w:sz w:val="21"/>
          <w:szCs w:val="21"/>
        </w:rPr>
      </w:pPr>
      <w:r>
        <w:rPr>
          <w:rFonts w:asciiTheme="minorEastAsia" w:hAnsiTheme="minorEastAsia" w:eastAsiaTheme="minorEastAsia"/>
          <w:sz w:val="21"/>
          <w:szCs w:val="21"/>
        </w:rPr>
        <w:t>根据新冠疫情防控要求，各参赛学校要遵循</w:t>
      </w:r>
      <w:r>
        <w:rPr>
          <w:rFonts w:asciiTheme="minorEastAsia" w:hAnsiTheme="minorEastAsia" w:eastAsiaTheme="minorEastAsia"/>
          <w:sz w:val="21"/>
          <w:szCs w:val="21"/>
          <w:lang w:val="zh-CN" w:eastAsia="zh-CN" w:bidi="zh-CN"/>
        </w:rPr>
        <w:t>“科学</w:t>
      </w:r>
      <w:r>
        <w:rPr>
          <w:rFonts w:asciiTheme="minorEastAsia" w:hAnsiTheme="minorEastAsia" w:eastAsiaTheme="minorEastAsia"/>
          <w:sz w:val="21"/>
          <w:szCs w:val="21"/>
        </w:rPr>
        <w:t>防控，精准施策”指导思想开展防控工作。按照</w:t>
      </w:r>
      <w:r>
        <w:rPr>
          <w:rFonts w:asciiTheme="minorEastAsia" w:hAnsiTheme="minorEastAsia" w:eastAsiaTheme="minorEastAsia"/>
          <w:sz w:val="21"/>
          <w:szCs w:val="21"/>
          <w:lang w:val="zh-CN" w:eastAsia="zh-CN" w:bidi="zh-CN"/>
        </w:rPr>
        <w:t>“一</w:t>
      </w:r>
      <w:r>
        <w:rPr>
          <w:rFonts w:asciiTheme="minorEastAsia" w:hAnsiTheme="minorEastAsia" w:eastAsiaTheme="minorEastAsia"/>
          <w:sz w:val="21"/>
          <w:szCs w:val="21"/>
        </w:rPr>
        <w:t>地一策”、</w:t>
      </w:r>
      <w:r>
        <w:rPr>
          <w:rFonts w:asciiTheme="minorEastAsia" w:hAnsiTheme="minorEastAsia" w:eastAsiaTheme="minorEastAsia"/>
          <w:sz w:val="21"/>
          <w:szCs w:val="21"/>
          <w:lang w:val="zh-CN" w:eastAsia="zh-CN" w:bidi="zh-CN"/>
        </w:rPr>
        <w:t>“一</w:t>
      </w:r>
      <w:r>
        <w:rPr>
          <w:rFonts w:asciiTheme="minorEastAsia" w:hAnsiTheme="minorEastAsia" w:eastAsiaTheme="minorEastAsia"/>
          <w:sz w:val="21"/>
          <w:szCs w:val="21"/>
        </w:rPr>
        <w:t>校一策”原则，细化落实本地本校防控方案。在常态化疫情防 控下，所有参赛人员、专家、裁判员、监督员、仲裁员、技术 支持人员及与会领导、工作人员、列席人员、志愿者、观摩人 员等均纳入大赛人员健康管理。</w:t>
      </w:r>
    </w:p>
    <w:p>
      <w:pPr>
        <w:pStyle w:val="16"/>
        <w:pageBreakBefore w:val="0"/>
        <w:widowControl w:val="0"/>
        <w:numPr>
          <w:ilvl w:val="0"/>
          <w:numId w:val="1"/>
        </w:numPr>
        <w:tabs>
          <w:tab w:val="left" w:pos="1002"/>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68" w:name="bookmark138"/>
      <w:bookmarkEnd w:id="68"/>
      <w:r>
        <w:rPr>
          <w:rFonts w:asciiTheme="minorEastAsia" w:hAnsiTheme="minorEastAsia" w:eastAsiaTheme="minorEastAsia"/>
          <w:sz w:val="21"/>
          <w:szCs w:val="21"/>
        </w:rPr>
        <w:t>健康状况排查。所有纳入大赛健康管理的人员，需主动申领</w:t>
      </w:r>
      <w:r>
        <w:rPr>
          <w:rFonts w:hint="eastAsia" w:asciiTheme="minorEastAsia" w:hAnsiTheme="minorEastAsia" w:eastAsiaTheme="minorEastAsia"/>
          <w:sz w:val="21"/>
          <w:szCs w:val="21"/>
          <w:lang w:val="en-US" w:eastAsia="zh-CN"/>
        </w:rPr>
        <w:t>甘肃省</w:t>
      </w:r>
      <w:r>
        <w:rPr>
          <w:rFonts w:asciiTheme="minorEastAsia" w:hAnsiTheme="minorEastAsia" w:eastAsiaTheme="minorEastAsia"/>
          <w:sz w:val="21"/>
          <w:szCs w:val="21"/>
        </w:rPr>
        <w:t>健康码，赛前不前往国内疫情中、髙风险地区，不出国（境），不参加聚集性活动。并进行报到前14天健康状况排查（流行病学史筛查）。存在以下情形人员，不得参赛。</w:t>
      </w:r>
    </w:p>
    <w:p>
      <w:pPr>
        <w:pStyle w:val="16"/>
        <w:pageBreakBefore w:val="0"/>
        <w:widowControl w:val="0"/>
        <w:tabs>
          <w:tab w:val="left" w:pos="1429"/>
        </w:tabs>
        <w:kinsoku/>
        <w:wordWrap/>
        <w:overflowPunct/>
        <w:topLinePunct w:val="0"/>
        <w:bidi w:val="0"/>
        <w:adjustRightInd/>
        <w:snapToGrid/>
        <w:spacing w:line="360" w:lineRule="auto"/>
        <w:ind w:firstLine="640"/>
        <w:jc w:val="both"/>
        <w:textAlignment w:val="auto"/>
        <w:rPr>
          <w:rFonts w:asciiTheme="minorEastAsia" w:hAnsiTheme="minorEastAsia" w:eastAsiaTheme="minorEastAsia"/>
          <w:sz w:val="21"/>
          <w:szCs w:val="21"/>
        </w:rPr>
      </w:pPr>
      <w:bookmarkStart w:id="69" w:name="bookmark139"/>
      <w:r>
        <w:rPr>
          <w:rFonts w:asciiTheme="minorEastAsia" w:hAnsiTheme="minorEastAsia" w:eastAsiaTheme="minorEastAsia"/>
          <w:sz w:val="21"/>
          <w:szCs w:val="21"/>
        </w:rPr>
        <w:t>（</w:t>
      </w:r>
      <w:bookmarkEnd w:id="69"/>
      <w:r>
        <w:rPr>
          <w:rFonts w:asciiTheme="minorEastAsia" w:hAnsiTheme="minorEastAsia" w:eastAsiaTheme="minorEastAsia"/>
          <w:sz w:val="21"/>
          <w:szCs w:val="21"/>
        </w:rPr>
        <w:t>1）确诊病例、疑似病例、无症状感染者和尚在隔离观察期的密切接触者。</w:t>
      </w:r>
    </w:p>
    <w:p>
      <w:pPr>
        <w:pStyle w:val="16"/>
        <w:pageBreakBefore w:val="0"/>
        <w:widowControl w:val="0"/>
        <w:tabs>
          <w:tab w:val="left" w:pos="1434"/>
        </w:tabs>
        <w:kinsoku/>
        <w:wordWrap/>
        <w:overflowPunct/>
        <w:topLinePunct w:val="0"/>
        <w:bidi w:val="0"/>
        <w:adjustRightInd/>
        <w:snapToGrid/>
        <w:spacing w:line="360" w:lineRule="auto"/>
        <w:ind w:firstLine="640"/>
        <w:jc w:val="both"/>
        <w:textAlignment w:val="auto"/>
        <w:rPr>
          <w:rFonts w:asciiTheme="minorEastAsia" w:hAnsiTheme="minorEastAsia" w:eastAsiaTheme="minorEastAsia"/>
          <w:sz w:val="21"/>
          <w:szCs w:val="21"/>
        </w:rPr>
      </w:pPr>
      <w:bookmarkStart w:id="70" w:name="bookmark140"/>
      <w:r>
        <w:rPr>
          <w:rFonts w:asciiTheme="minorEastAsia" w:hAnsiTheme="minorEastAsia" w:eastAsiaTheme="minorEastAsia"/>
          <w:sz w:val="21"/>
          <w:szCs w:val="21"/>
        </w:rPr>
        <w:t>（</w:t>
      </w:r>
      <w:bookmarkEnd w:id="70"/>
      <w:r>
        <w:rPr>
          <w:rFonts w:asciiTheme="minorEastAsia" w:hAnsiTheme="minorEastAsia" w:eastAsiaTheme="minorEastAsia"/>
          <w:sz w:val="21"/>
          <w:szCs w:val="21"/>
        </w:rPr>
        <w:t>2）近14天有发热、咳嗽等症状未痊愈的，未排除传染病及身体不适者。</w:t>
      </w:r>
    </w:p>
    <w:p>
      <w:pPr>
        <w:pStyle w:val="16"/>
        <w:pageBreakBefore w:val="0"/>
        <w:widowControl w:val="0"/>
        <w:tabs>
          <w:tab w:val="left" w:pos="1443"/>
        </w:tabs>
        <w:kinsoku/>
        <w:wordWrap/>
        <w:overflowPunct/>
        <w:topLinePunct w:val="0"/>
        <w:bidi w:val="0"/>
        <w:adjustRightInd/>
        <w:snapToGrid/>
        <w:spacing w:line="360" w:lineRule="auto"/>
        <w:ind w:firstLine="640"/>
        <w:jc w:val="both"/>
        <w:textAlignment w:val="auto"/>
        <w:rPr>
          <w:rFonts w:asciiTheme="minorEastAsia" w:hAnsiTheme="minorEastAsia" w:eastAsiaTheme="minorEastAsia"/>
          <w:sz w:val="21"/>
          <w:szCs w:val="21"/>
        </w:rPr>
      </w:pPr>
      <w:bookmarkStart w:id="71" w:name="bookmark141"/>
      <w:r>
        <w:rPr>
          <w:rFonts w:asciiTheme="minorEastAsia" w:hAnsiTheme="minorEastAsia" w:eastAsiaTheme="minorEastAsia"/>
          <w:sz w:val="21"/>
          <w:szCs w:val="21"/>
        </w:rPr>
        <w:t>（</w:t>
      </w:r>
      <w:bookmarkEnd w:id="71"/>
      <w:r>
        <w:rPr>
          <w:rFonts w:asciiTheme="minorEastAsia" w:hAnsiTheme="minorEastAsia" w:eastAsiaTheme="minorEastAsia"/>
          <w:sz w:val="21"/>
          <w:szCs w:val="21"/>
        </w:rPr>
        <w:t>3）14天内有国内中髙风险等疫情重点地区旅居史和接触史的。</w:t>
      </w:r>
    </w:p>
    <w:p>
      <w:pPr>
        <w:pStyle w:val="16"/>
        <w:pageBreakBefore w:val="0"/>
        <w:widowControl w:val="0"/>
        <w:tabs>
          <w:tab w:val="left" w:pos="1413"/>
        </w:tabs>
        <w:kinsoku/>
        <w:wordWrap/>
        <w:overflowPunct/>
        <w:topLinePunct w:val="0"/>
        <w:bidi w:val="0"/>
        <w:adjustRightInd/>
        <w:snapToGrid/>
        <w:spacing w:line="360" w:lineRule="auto"/>
        <w:ind w:firstLine="640"/>
        <w:jc w:val="both"/>
        <w:textAlignment w:val="auto"/>
        <w:rPr>
          <w:rFonts w:asciiTheme="minorEastAsia" w:hAnsiTheme="minorEastAsia" w:eastAsiaTheme="minorEastAsia"/>
          <w:sz w:val="21"/>
          <w:szCs w:val="21"/>
        </w:rPr>
      </w:pPr>
      <w:bookmarkStart w:id="72" w:name="bookmark142"/>
      <w:r>
        <w:rPr>
          <w:rFonts w:asciiTheme="minorEastAsia" w:hAnsiTheme="minorEastAsia" w:eastAsiaTheme="minorEastAsia"/>
          <w:sz w:val="21"/>
          <w:szCs w:val="21"/>
        </w:rPr>
        <w:t>（</w:t>
      </w:r>
      <w:bookmarkEnd w:id="72"/>
      <w:r>
        <w:rPr>
          <w:rFonts w:asciiTheme="minorEastAsia" w:hAnsiTheme="minorEastAsia" w:eastAsiaTheme="minorEastAsia"/>
          <w:sz w:val="21"/>
          <w:szCs w:val="21"/>
        </w:rPr>
        <w:t>4）居住社区21天内发生疫情的。</w:t>
      </w:r>
    </w:p>
    <w:p>
      <w:pPr>
        <w:pStyle w:val="16"/>
        <w:pageBreakBefore w:val="0"/>
        <w:widowControl w:val="0"/>
        <w:tabs>
          <w:tab w:val="left" w:pos="1438"/>
        </w:tabs>
        <w:kinsoku/>
        <w:wordWrap/>
        <w:overflowPunct/>
        <w:topLinePunct w:val="0"/>
        <w:bidi w:val="0"/>
        <w:adjustRightInd/>
        <w:snapToGrid/>
        <w:spacing w:line="360" w:lineRule="auto"/>
        <w:ind w:firstLine="640"/>
        <w:jc w:val="both"/>
        <w:textAlignment w:val="auto"/>
        <w:rPr>
          <w:rFonts w:asciiTheme="minorEastAsia" w:hAnsiTheme="minorEastAsia" w:eastAsiaTheme="minorEastAsia"/>
          <w:sz w:val="21"/>
          <w:szCs w:val="21"/>
        </w:rPr>
      </w:pPr>
      <w:bookmarkStart w:id="73" w:name="bookmark143"/>
      <w:r>
        <w:rPr>
          <w:rFonts w:asciiTheme="minorEastAsia" w:hAnsiTheme="minorEastAsia" w:eastAsiaTheme="minorEastAsia"/>
          <w:sz w:val="21"/>
          <w:szCs w:val="21"/>
        </w:rPr>
        <w:t>（</w:t>
      </w:r>
      <w:bookmarkEnd w:id="73"/>
      <w:r>
        <w:rPr>
          <w:rFonts w:asciiTheme="minorEastAsia" w:hAnsiTheme="minorEastAsia" w:eastAsiaTheme="minorEastAsia"/>
          <w:sz w:val="21"/>
          <w:szCs w:val="21"/>
        </w:rPr>
        <w:t>5）14天内有境外旅居史的人员执行入境人员疫情防控政策。</w:t>
      </w:r>
    </w:p>
    <w:p>
      <w:pPr>
        <w:pStyle w:val="16"/>
        <w:pageBreakBefore w:val="0"/>
        <w:widowControl w:val="0"/>
        <w:numPr>
          <w:ilvl w:val="0"/>
          <w:numId w:val="1"/>
        </w:numPr>
        <w:tabs>
          <w:tab w:val="left" w:pos="1030"/>
        </w:tabs>
        <w:kinsoku/>
        <w:wordWrap/>
        <w:overflowPunct/>
        <w:topLinePunct w:val="0"/>
        <w:autoSpaceDE/>
        <w:autoSpaceDN/>
        <w:bidi w:val="0"/>
        <w:adjustRightInd/>
        <w:snapToGrid/>
        <w:spacing w:after="80" w:line="360" w:lineRule="auto"/>
        <w:ind w:firstLine="640"/>
        <w:jc w:val="both"/>
        <w:textAlignment w:val="auto"/>
        <w:rPr>
          <w:rFonts w:asciiTheme="minorEastAsia" w:hAnsiTheme="minorEastAsia" w:eastAsiaTheme="minorEastAsia"/>
          <w:sz w:val="21"/>
          <w:szCs w:val="21"/>
        </w:rPr>
      </w:pPr>
      <w:bookmarkStart w:id="74" w:name="bookmark144"/>
      <w:bookmarkEnd w:id="74"/>
      <w:r>
        <w:rPr>
          <w:rFonts w:asciiTheme="minorEastAsia" w:hAnsiTheme="minorEastAsia" w:eastAsiaTheme="minorEastAsia"/>
          <w:sz w:val="21"/>
          <w:szCs w:val="21"/>
        </w:rPr>
        <w:t>所有纳入大赛健康管理的人员在报到前14天，每天采取自查自报方式进行健康监测，早、中、晩各进行1次体温测量。一旦发现发热、乏力、咳嗽、咽痛、打喷嚏、腹泻、呕吐、黄疸、皮疹、结膜充血等疑似症状，应及时向所在单位报告，并尽快就诊检查，未排除疑似传染病及身体不适者不得参赛。</w:t>
      </w:r>
    </w:p>
    <w:p>
      <w:pPr>
        <w:pStyle w:val="18"/>
        <w:keepNext/>
        <w:keepLines/>
        <w:pageBreakBefore w:val="0"/>
        <w:widowControl w:val="0"/>
        <w:tabs>
          <w:tab w:val="left" w:pos="1432"/>
        </w:tabs>
        <w:kinsoku/>
        <w:wordWrap/>
        <w:overflowPunct/>
        <w:topLinePunct w:val="0"/>
        <w:bidi w:val="0"/>
        <w:adjustRightInd/>
        <w:snapToGrid/>
        <w:spacing w:after="160" w:line="360" w:lineRule="auto"/>
        <w:ind w:firstLine="640"/>
        <w:textAlignment w:val="auto"/>
        <w:rPr>
          <w:rFonts w:asciiTheme="minorEastAsia" w:hAnsiTheme="minorEastAsia" w:eastAsiaTheme="minorEastAsia"/>
          <w:sz w:val="21"/>
          <w:szCs w:val="21"/>
        </w:rPr>
      </w:pPr>
      <w:bookmarkStart w:id="75" w:name="bookmark147"/>
      <w:bookmarkStart w:id="76" w:name="bookmark145"/>
      <w:bookmarkStart w:id="77" w:name="bookmark148"/>
      <w:bookmarkStart w:id="78" w:name="bookmark146"/>
      <w:r>
        <w:rPr>
          <w:rFonts w:asciiTheme="minorEastAsia" w:hAnsiTheme="minorEastAsia" w:eastAsiaTheme="minorEastAsia"/>
          <w:sz w:val="21"/>
          <w:szCs w:val="21"/>
        </w:rPr>
        <w:t>（</w:t>
      </w:r>
      <w:bookmarkEnd w:id="75"/>
      <w:r>
        <w:rPr>
          <w:rFonts w:asciiTheme="minorEastAsia" w:hAnsiTheme="minorEastAsia" w:eastAsiaTheme="minorEastAsia"/>
          <w:sz w:val="21"/>
          <w:szCs w:val="21"/>
        </w:rPr>
        <w:t>二）</w:t>
      </w:r>
      <w:r>
        <w:rPr>
          <w:rFonts w:asciiTheme="minorEastAsia" w:hAnsiTheme="minorEastAsia" w:eastAsiaTheme="minorEastAsia"/>
          <w:sz w:val="21"/>
          <w:szCs w:val="21"/>
        </w:rPr>
        <w:tab/>
      </w:r>
      <w:r>
        <w:rPr>
          <w:rFonts w:asciiTheme="minorEastAsia" w:hAnsiTheme="minorEastAsia" w:eastAsiaTheme="minorEastAsia"/>
          <w:sz w:val="21"/>
          <w:szCs w:val="21"/>
        </w:rPr>
        <w:t>参赛队须知。</w:t>
      </w:r>
      <w:bookmarkEnd w:id="76"/>
      <w:bookmarkEnd w:id="77"/>
      <w:bookmarkEnd w:id="78"/>
    </w:p>
    <w:p>
      <w:pPr>
        <w:pStyle w:val="16"/>
        <w:pageBreakBefore w:val="0"/>
        <w:widowControl w:val="0"/>
        <w:numPr>
          <w:ilvl w:val="0"/>
          <w:numId w:val="2"/>
        </w:numPr>
        <w:tabs>
          <w:tab w:val="left" w:pos="1035"/>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79" w:name="bookmark149"/>
      <w:bookmarkEnd w:id="79"/>
      <w:r>
        <w:rPr>
          <w:rFonts w:asciiTheme="minorEastAsia" w:hAnsiTheme="minorEastAsia" w:eastAsiaTheme="minorEastAsia"/>
          <w:sz w:val="21"/>
          <w:szCs w:val="21"/>
        </w:rPr>
        <w:t>参赛队名称统一使用规定地区或院校全称，本赛项为团体赛，不接受跨校组队报名。</w:t>
      </w:r>
    </w:p>
    <w:p>
      <w:pPr>
        <w:pStyle w:val="16"/>
        <w:pageBreakBefore w:val="0"/>
        <w:widowControl w:val="0"/>
        <w:numPr>
          <w:ilvl w:val="0"/>
          <w:numId w:val="2"/>
        </w:numPr>
        <w:tabs>
          <w:tab w:val="left" w:pos="1040"/>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80" w:name="bookmark150"/>
      <w:bookmarkEnd w:id="80"/>
      <w:r>
        <w:rPr>
          <w:rFonts w:asciiTheme="minorEastAsia" w:hAnsiTheme="minorEastAsia" w:eastAsiaTheme="minorEastAsia"/>
          <w:sz w:val="21"/>
          <w:szCs w:val="21"/>
        </w:rPr>
        <w:t>参赛队选手在报名获得确认后，原则上不再更换，如筹备过程中，选手因故不能参赛，所在学校需出具书面说明并按相关参赛选手资格补充人员并接受审核。本赛项为团体赛，竞赛开始后，参赛队不得更换参赛选手，若有参赛队员缺席，则视为自动放弃竞赛团体名次排名。</w:t>
      </w:r>
    </w:p>
    <w:p>
      <w:pPr>
        <w:pStyle w:val="16"/>
        <w:pageBreakBefore w:val="0"/>
        <w:widowControl w:val="0"/>
        <w:numPr>
          <w:ilvl w:val="0"/>
          <w:numId w:val="2"/>
        </w:numPr>
        <w:tabs>
          <w:tab w:val="left" w:pos="1045"/>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81" w:name="bookmark151"/>
      <w:bookmarkEnd w:id="81"/>
      <w:r>
        <w:rPr>
          <w:rFonts w:asciiTheme="minorEastAsia" w:hAnsiTheme="minorEastAsia" w:eastAsiaTheme="minorEastAsia"/>
          <w:sz w:val="21"/>
          <w:szCs w:val="21"/>
        </w:rPr>
        <w:t>参赛队对大赛组委会以后发布的所有文件都要仔细阅读，确切了解大赛时间安排、评判细节等，以保证顺利参加大赛。</w:t>
      </w:r>
    </w:p>
    <w:p>
      <w:pPr>
        <w:pStyle w:val="16"/>
        <w:pageBreakBefore w:val="0"/>
        <w:widowControl w:val="0"/>
        <w:numPr>
          <w:ilvl w:val="0"/>
          <w:numId w:val="2"/>
        </w:numPr>
        <w:tabs>
          <w:tab w:val="left" w:pos="1035"/>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82" w:name="bookmark152"/>
      <w:bookmarkEnd w:id="82"/>
      <w:r>
        <w:rPr>
          <w:rFonts w:asciiTheme="minorEastAsia" w:hAnsiTheme="minorEastAsia" w:eastAsiaTheme="minorEastAsia"/>
          <w:sz w:val="21"/>
          <w:szCs w:val="21"/>
        </w:rPr>
        <w:t>参赛队按照大赛赛程安排，凭大赛组委会颁发的参赛证和有效身份证件参加竞赛及相关活动。</w:t>
      </w:r>
    </w:p>
    <w:p>
      <w:pPr>
        <w:pStyle w:val="16"/>
        <w:pageBreakBefore w:val="0"/>
        <w:widowControl w:val="0"/>
        <w:numPr>
          <w:ilvl w:val="0"/>
          <w:numId w:val="2"/>
        </w:numPr>
        <w:tabs>
          <w:tab w:val="left" w:pos="1051"/>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83" w:name="bookmark153"/>
      <w:bookmarkEnd w:id="83"/>
      <w:r>
        <w:rPr>
          <w:rFonts w:asciiTheme="minorEastAsia" w:hAnsiTheme="minorEastAsia" w:eastAsiaTheme="minorEastAsia"/>
          <w:sz w:val="21"/>
          <w:szCs w:val="21"/>
        </w:rPr>
        <w:t>参赛队将通过抽签决定比赛场地和比赛顺序。</w:t>
      </w:r>
    </w:p>
    <w:p>
      <w:pPr>
        <w:pStyle w:val="16"/>
        <w:pageBreakBefore w:val="0"/>
        <w:widowControl w:val="0"/>
        <w:numPr>
          <w:ilvl w:val="0"/>
          <w:numId w:val="2"/>
        </w:numPr>
        <w:tabs>
          <w:tab w:val="left" w:pos="1045"/>
        </w:tabs>
        <w:kinsoku/>
        <w:wordWrap/>
        <w:overflowPunct/>
        <w:topLinePunct w:val="0"/>
        <w:autoSpaceDE/>
        <w:autoSpaceDN/>
        <w:bidi w:val="0"/>
        <w:adjustRightInd/>
        <w:snapToGrid/>
        <w:spacing w:after="160" w:line="360" w:lineRule="auto"/>
        <w:ind w:firstLine="640"/>
        <w:jc w:val="both"/>
        <w:textAlignment w:val="auto"/>
        <w:rPr>
          <w:rFonts w:asciiTheme="minorEastAsia" w:hAnsiTheme="minorEastAsia" w:eastAsiaTheme="minorEastAsia"/>
          <w:sz w:val="21"/>
          <w:szCs w:val="21"/>
        </w:rPr>
      </w:pPr>
      <w:bookmarkStart w:id="84" w:name="bookmark154"/>
      <w:bookmarkEnd w:id="84"/>
      <w:r>
        <w:rPr>
          <w:rFonts w:asciiTheme="minorEastAsia" w:hAnsiTheme="minorEastAsia" w:eastAsiaTheme="minorEastAsia"/>
          <w:sz w:val="21"/>
          <w:szCs w:val="21"/>
        </w:rPr>
        <w:t>对于本规则没有规定的行为，裁判组有权做出裁决。在有争议的情况下，仲裁工作组的裁决是最终裁决。</w:t>
      </w:r>
    </w:p>
    <w:p>
      <w:pPr>
        <w:pStyle w:val="18"/>
        <w:keepNext/>
        <w:keepLines/>
        <w:pageBreakBefore w:val="0"/>
        <w:widowControl w:val="0"/>
        <w:tabs>
          <w:tab w:val="left" w:pos="1432"/>
        </w:tabs>
        <w:kinsoku/>
        <w:wordWrap/>
        <w:overflowPunct/>
        <w:topLinePunct w:val="0"/>
        <w:bidi w:val="0"/>
        <w:adjustRightInd/>
        <w:snapToGrid/>
        <w:spacing w:after="160" w:line="360" w:lineRule="auto"/>
        <w:ind w:firstLine="640"/>
        <w:jc w:val="both"/>
        <w:textAlignment w:val="auto"/>
        <w:rPr>
          <w:rFonts w:asciiTheme="minorEastAsia" w:hAnsiTheme="minorEastAsia" w:eastAsiaTheme="minorEastAsia"/>
          <w:sz w:val="21"/>
          <w:szCs w:val="21"/>
        </w:rPr>
      </w:pPr>
      <w:bookmarkStart w:id="85" w:name="bookmark157"/>
      <w:bookmarkStart w:id="86" w:name="bookmark156"/>
      <w:bookmarkStart w:id="87" w:name="bookmark158"/>
      <w:bookmarkStart w:id="88" w:name="bookmark155"/>
      <w:r>
        <w:rPr>
          <w:rFonts w:asciiTheme="minorEastAsia" w:hAnsiTheme="minorEastAsia" w:eastAsiaTheme="minorEastAsia"/>
          <w:sz w:val="21"/>
          <w:szCs w:val="21"/>
        </w:rPr>
        <w:t>（</w:t>
      </w:r>
      <w:bookmarkEnd w:id="85"/>
      <w:r>
        <w:rPr>
          <w:rFonts w:asciiTheme="minorEastAsia" w:hAnsiTheme="minorEastAsia" w:eastAsiaTheme="minorEastAsia"/>
          <w:sz w:val="21"/>
          <w:szCs w:val="21"/>
        </w:rPr>
        <w:t>三）</w:t>
      </w:r>
      <w:r>
        <w:rPr>
          <w:rFonts w:asciiTheme="minorEastAsia" w:hAnsiTheme="minorEastAsia" w:eastAsiaTheme="minorEastAsia"/>
          <w:sz w:val="21"/>
          <w:szCs w:val="21"/>
        </w:rPr>
        <w:tab/>
      </w:r>
      <w:r>
        <w:rPr>
          <w:rFonts w:asciiTheme="minorEastAsia" w:hAnsiTheme="minorEastAsia" w:eastAsiaTheme="minorEastAsia"/>
          <w:sz w:val="21"/>
          <w:szCs w:val="21"/>
        </w:rPr>
        <w:t>指导教师须知。</w:t>
      </w:r>
      <w:bookmarkEnd w:id="86"/>
      <w:bookmarkEnd w:id="87"/>
      <w:bookmarkEnd w:id="88"/>
    </w:p>
    <w:p>
      <w:pPr>
        <w:pStyle w:val="16"/>
        <w:pageBreakBefore w:val="0"/>
        <w:widowControl w:val="0"/>
        <w:numPr>
          <w:ilvl w:val="0"/>
          <w:numId w:val="3"/>
        </w:numPr>
        <w:tabs>
          <w:tab w:val="left" w:pos="1030"/>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89" w:name="bookmark159"/>
      <w:bookmarkEnd w:id="89"/>
      <w:r>
        <w:rPr>
          <w:rFonts w:asciiTheme="minorEastAsia" w:hAnsiTheme="minorEastAsia" w:eastAsiaTheme="minorEastAsia"/>
          <w:sz w:val="21"/>
          <w:szCs w:val="21"/>
        </w:rPr>
        <w:t>做好赛前抽签工作，确认比赛出场顺序，协助大赛承办方组织好本单位比赛选手的各项赛事相关事宜。</w:t>
      </w:r>
    </w:p>
    <w:p>
      <w:pPr>
        <w:pStyle w:val="16"/>
        <w:pageBreakBefore w:val="0"/>
        <w:widowControl w:val="0"/>
        <w:numPr>
          <w:ilvl w:val="0"/>
          <w:numId w:val="3"/>
        </w:numPr>
        <w:tabs>
          <w:tab w:val="left" w:pos="1030"/>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90" w:name="bookmark160"/>
      <w:bookmarkEnd w:id="90"/>
      <w:r>
        <w:rPr>
          <w:rFonts w:asciiTheme="minorEastAsia" w:hAnsiTheme="minorEastAsia" w:eastAsiaTheme="minorEastAsia"/>
          <w:sz w:val="21"/>
          <w:szCs w:val="21"/>
        </w:rPr>
        <w:t>做好本单位比赛选手的业务辅导、心理疏导和思想引导工作，对参赛选手及比赛过程报以平和、包容的心态，共同维 护竞赛秩序。</w:t>
      </w:r>
    </w:p>
    <w:p>
      <w:pPr>
        <w:pStyle w:val="16"/>
        <w:pageBreakBefore w:val="0"/>
        <w:widowControl w:val="0"/>
        <w:numPr>
          <w:ilvl w:val="0"/>
          <w:numId w:val="3"/>
        </w:numPr>
        <w:tabs>
          <w:tab w:val="left" w:pos="1035"/>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91" w:name="bookmark161"/>
      <w:bookmarkEnd w:id="91"/>
      <w:r>
        <w:rPr>
          <w:rFonts w:asciiTheme="minorEastAsia" w:hAnsiTheme="minorEastAsia" w:eastAsiaTheme="minorEastAsia"/>
          <w:sz w:val="21"/>
          <w:szCs w:val="21"/>
        </w:rPr>
        <w:t>自觉遵守竞赛规则，尊重和支持裁判工作，不随意进入比赛现场及其他禁止入内的区域，确保比赛进程的公平、公正、顺畅、髙效。</w:t>
      </w:r>
    </w:p>
    <w:p>
      <w:pPr>
        <w:pStyle w:val="16"/>
        <w:pageBreakBefore w:val="0"/>
        <w:widowControl w:val="0"/>
        <w:numPr>
          <w:ilvl w:val="0"/>
          <w:numId w:val="3"/>
        </w:numPr>
        <w:tabs>
          <w:tab w:val="left" w:pos="1035"/>
        </w:tabs>
        <w:kinsoku/>
        <w:wordWrap/>
        <w:overflowPunct/>
        <w:topLinePunct w:val="0"/>
        <w:autoSpaceDE/>
        <w:autoSpaceDN/>
        <w:bidi w:val="0"/>
        <w:adjustRightInd/>
        <w:snapToGrid/>
        <w:spacing w:after="100" w:line="360" w:lineRule="auto"/>
        <w:ind w:firstLine="640"/>
        <w:jc w:val="both"/>
        <w:textAlignment w:val="auto"/>
        <w:rPr>
          <w:rFonts w:asciiTheme="minorEastAsia" w:hAnsiTheme="minorEastAsia" w:eastAsiaTheme="minorEastAsia"/>
          <w:sz w:val="21"/>
          <w:szCs w:val="21"/>
        </w:rPr>
      </w:pPr>
      <w:bookmarkStart w:id="92" w:name="bookmark162"/>
      <w:bookmarkEnd w:id="92"/>
      <w:r>
        <w:rPr>
          <w:rFonts w:asciiTheme="minorEastAsia" w:hAnsiTheme="minorEastAsia" w:eastAsiaTheme="minorEastAsia"/>
          <w:sz w:val="21"/>
          <w:szCs w:val="21"/>
        </w:rPr>
        <w:t>当本队参赛选手对比赛进程中出现异常或疑问，应及时了解情况，客观做出判断，并做好选手的安抚工作，经内部进行协商，认为有必要时可在规定时限内向赛项仲裁工作组反映情况或提出书面仲裁申请。</w:t>
      </w:r>
    </w:p>
    <w:p>
      <w:pPr>
        <w:pStyle w:val="18"/>
        <w:keepNext/>
        <w:keepLines/>
        <w:pageBreakBefore w:val="0"/>
        <w:widowControl w:val="0"/>
        <w:kinsoku/>
        <w:wordWrap/>
        <w:overflowPunct/>
        <w:topLinePunct w:val="0"/>
        <w:bidi w:val="0"/>
        <w:adjustRightInd/>
        <w:snapToGrid/>
        <w:spacing w:after="160" w:line="360" w:lineRule="auto"/>
        <w:ind w:firstLine="640"/>
        <w:jc w:val="both"/>
        <w:textAlignment w:val="auto"/>
        <w:rPr>
          <w:rFonts w:asciiTheme="minorEastAsia" w:hAnsiTheme="minorEastAsia" w:eastAsiaTheme="minorEastAsia"/>
          <w:sz w:val="21"/>
          <w:szCs w:val="21"/>
        </w:rPr>
      </w:pPr>
      <w:bookmarkStart w:id="93" w:name="bookmark165"/>
      <w:bookmarkStart w:id="94" w:name="bookmark164"/>
      <w:bookmarkStart w:id="95" w:name="bookmark166"/>
      <w:bookmarkStart w:id="96" w:name="bookmark163"/>
      <w:r>
        <w:rPr>
          <w:rFonts w:asciiTheme="minorEastAsia" w:hAnsiTheme="minorEastAsia" w:eastAsiaTheme="minorEastAsia"/>
          <w:sz w:val="21"/>
          <w:szCs w:val="21"/>
        </w:rPr>
        <w:t>（</w:t>
      </w:r>
      <w:bookmarkEnd w:id="93"/>
      <w:r>
        <w:rPr>
          <w:rFonts w:asciiTheme="minorEastAsia" w:hAnsiTheme="minorEastAsia" w:eastAsiaTheme="minorEastAsia"/>
          <w:sz w:val="21"/>
          <w:szCs w:val="21"/>
        </w:rPr>
        <w:t>四）参赛选手须知。</w:t>
      </w:r>
      <w:bookmarkEnd w:id="94"/>
      <w:bookmarkEnd w:id="95"/>
      <w:bookmarkEnd w:id="96"/>
    </w:p>
    <w:p>
      <w:pPr>
        <w:pStyle w:val="16"/>
        <w:pageBreakBefore w:val="0"/>
        <w:widowControl w:val="0"/>
        <w:numPr>
          <w:ilvl w:val="0"/>
          <w:numId w:val="4"/>
        </w:numPr>
        <w:tabs>
          <w:tab w:val="left" w:pos="1035"/>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97" w:name="bookmark167"/>
      <w:bookmarkEnd w:id="97"/>
      <w:r>
        <w:rPr>
          <w:rFonts w:asciiTheme="minorEastAsia" w:hAnsiTheme="minorEastAsia" w:eastAsiaTheme="minorEastAsia"/>
          <w:sz w:val="21"/>
          <w:szCs w:val="21"/>
        </w:rPr>
        <w:t>参赛选手报到后，凭身份证领取参赛证。参赛证为选手参赛的凭据。参赛选手一经确认，中途不得任意更换，否则以 作弊论处，比赛成绩取消。</w:t>
      </w:r>
    </w:p>
    <w:p>
      <w:pPr>
        <w:pStyle w:val="16"/>
        <w:pageBreakBefore w:val="0"/>
        <w:widowControl w:val="0"/>
        <w:numPr>
          <w:ilvl w:val="0"/>
          <w:numId w:val="4"/>
        </w:numPr>
        <w:tabs>
          <w:tab w:val="left" w:pos="1030"/>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98" w:name="bookmark168"/>
      <w:bookmarkEnd w:id="98"/>
      <w:r>
        <w:rPr>
          <w:rFonts w:asciiTheme="minorEastAsia" w:hAnsiTheme="minorEastAsia" w:eastAsiaTheme="minorEastAsia"/>
          <w:sz w:val="21"/>
          <w:szCs w:val="21"/>
        </w:rPr>
        <w:t>参赛选手应持参赛有效身份证、参赛证和学生证（三证必须齐全）</w:t>
      </w:r>
      <w:r>
        <w:rPr>
          <w:rFonts w:hint="eastAsia" w:asciiTheme="minorEastAsia" w:hAnsiTheme="minorEastAsia" w:eastAsiaTheme="minorEastAsia"/>
          <w:sz w:val="21"/>
          <w:szCs w:val="21"/>
          <w:lang w:eastAsia="zh-CN"/>
        </w:rPr>
        <w:t>和保险单</w:t>
      </w:r>
      <w:r>
        <w:rPr>
          <w:rFonts w:asciiTheme="minorEastAsia" w:hAnsiTheme="minorEastAsia" w:eastAsiaTheme="minorEastAsia"/>
          <w:sz w:val="21"/>
          <w:szCs w:val="21"/>
        </w:rPr>
        <w:t>，按竞赛顺序、项目场次和竞赛时间，提前30分钟到各</w:t>
      </w:r>
      <w:r>
        <w:rPr>
          <w:rFonts w:hint="eastAsia" w:asciiTheme="minorEastAsia" w:hAnsiTheme="minorEastAsia" w:eastAsiaTheme="minorEastAsia"/>
          <w:sz w:val="21"/>
          <w:szCs w:val="21"/>
        </w:rPr>
        <w:t>比赛</w:t>
      </w:r>
      <w:r>
        <w:rPr>
          <w:rFonts w:asciiTheme="minorEastAsia" w:hAnsiTheme="minorEastAsia" w:eastAsiaTheme="minorEastAsia"/>
          <w:sz w:val="21"/>
          <w:szCs w:val="21"/>
        </w:rPr>
        <w:t>项目指定地点接受检录。</w:t>
      </w:r>
    </w:p>
    <w:p>
      <w:pPr>
        <w:pStyle w:val="16"/>
        <w:pageBreakBefore w:val="0"/>
        <w:widowControl w:val="0"/>
        <w:numPr>
          <w:ilvl w:val="0"/>
          <w:numId w:val="4"/>
        </w:numPr>
        <w:tabs>
          <w:tab w:val="left" w:pos="1040"/>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99" w:name="bookmark169"/>
      <w:bookmarkEnd w:id="99"/>
      <w:r>
        <w:rPr>
          <w:rFonts w:asciiTheme="minorEastAsia" w:hAnsiTheme="minorEastAsia" w:eastAsiaTheme="minorEastAsia"/>
          <w:sz w:val="21"/>
          <w:szCs w:val="21"/>
        </w:rPr>
        <w:t>检录后的选手，应在工作人员的引进下，提前15分钟到达竞赛现场，从竞赛计时开始，比赛开始15分钟后，选手未到即取消该项目的参赛资格。</w:t>
      </w:r>
    </w:p>
    <w:p>
      <w:pPr>
        <w:pStyle w:val="16"/>
        <w:pageBreakBefore w:val="0"/>
        <w:widowControl w:val="0"/>
        <w:numPr>
          <w:ilvl w:val="0"/>
          <w:numId w:val="4"/>
        </w:numPr>
        <w:tabs>
          <w:tab w:val="left" w:pos="1030"/>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100" w:name="bookmark170"/>
      <w:bookmarkEnd w:id="100"/>
      <w:r>
        <w:rPr>
          <w:rFonts w:asciiTheme="minorEastAsia" w:hAnsiTheme="minorEastAsia" w:eastAsiaTheme="minorEastAsia"/>
          <w:sz w:val="21"/>
          <w:szCs w:val="21"/>
        </w:rPr>
        <w:t>参赛选手进入赛场，应佩戴参赛证，做到衣着整洁，符合安全生产及竞赛要求。</w:t>
      </w:r>
    </w:p>
    <w:p>
      <w:pPr>
        <w:pStyle w:val="16"/>
        <w:pageBreakBefore w:val="0"/>
        <w:widowControl w:val="0"/>
        <w:numPr>
          <w:ilvl w:val="0"/>
          <w:numId w:val="4"/>
        </w:numPr>
        <w:tabs>
          <w:tab w:val="left" w:pos="1045"/>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101" w:name="bookmark171"/>
      <w:bookmarkEnd w:id="101"/>
      <w:r>
        <w:rPr>
          <w:rFonts w:asciiTheme="minorEastAsia" w:hAnsiTheme="minorEastAsia" w:eastAsiaTheme="minorEastAsia"/>
          <w:sz w:val="21"/>
          <w:szCs w:val="21"/>
        </w:rPr>
        <w:t>比赛需连续进行，比赛一旦计时开始不能无故终止比赛。比赛过程中，参赛选手必须严格遵守竞赛纪律，并接受裁判员的监督和警示。参赛选手如有疑问、遇设备或软件等故障、身体不适等情况，应举手示意，项目裁判长、技术人员等应及时予以解决。确因计算机软件或硬件故障，致使操作无法继续的, 经裁判长确认，予以启用备用计算机。如遇身体不适，现场医 务人员按应急预案救治。</w:t>
      </w:r>
    </w:p>
    <w:p>
      <w:pPr>
        <w:pStyle w:val="16"/>
        <w:pageBreakBefore w:val="0"/>
        <w:widowControl w:val="0"/>
        <w:numPr>
          <w:ilvl w:val="0"/>
          <w:numId w:val="4"/>
        </w:numPr>
        <w:tabs>
          <w:tab w:val="left" w:pos="1040"/>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102" w:name="bookmark172"/>
      <w:bookmarkEnd w:id="102"/>
      <w:r>
        <w:rPr>
          <w:rFonts w:asciiTheme="minorEastAsia" w:hAnsiTheme="minorEastAsia" w:eastAsiaTheme="minorEastAsia"/>
          <w:sz w:val="21"/>
          <w:szCs w:val="21"/>
        </w:rPr>
        <w:t>参赛选手应认真阅读各项目竞赛操作须知，自觉遵守赛场纪律，按竞赛规则、项目与赛场要求进行竞赛，不得携带任何书面或电子资料、</w:t>
      </w:r>
      <w:r>
        <w:rPr>
          <w:rFonts w:asciiTheme="minorEastAsia" w:hAnsiTheme="minorEastAsia" w:eastAsiaTheme="minorEastAsia"/>
          <w:sz w:val="21"/>
          <w:szCs w:val="21"/>
          <w:lang w:val="en-US" w:eastAsia="zh-CN" w:bidi="en-US"/>
        </w:rPr>
        <w:t>U</w:t>
      </w:r>
      <w:r>
        <w:rPr>
          <w:rFonts w:asciiTheme="minorEastAsia" w:hAnsiTheme="minorEastAsia" w:eastAsiaTheme="minorEastAsia"/>
          <w:sz w:val="21"/>
          <w:szCs w:val="21"/>
        </w:rPr>
        <w:t>盘、手机等电子或通讯设备进入赛场，不得有任何舞弊行为，否则视情节轻重执行赛场纪律。</w:t>
      </w:r>
    </w:p>
    <w:p>
      <w:pPr>
        <w:pStyle w:val="16"/>
        <w:pageBreakBefore w:val="0"/>
        <w:widowControl w:val="0"/>
        <w:numPr>
          <w:ilvl w:val="0"/>
          <w:numId w:val="4"/>
        </w:numPr>
        <w:tabs>
          <w:tab w:val="left" w:pos="1040"/>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103" w:name="bookmark173"/>
      <w:bookmarkEnd w:id="103"/>
      <w:r>
        <w:rPr>
          <w:rFonts w:asciiTheme="minorEastAsia" w:hAnsiTheme="minorEastAsia" w:eastAsiaTheme="minorEastAsia"/>
          <w:sz w:val="21"/>
          <w:szCs w:val="21"/>
        </w:rPr>
        <w:t>竞赛期间，竞赛选手应服从裁判评判，若对裁判评分产生异议，不得与裁判争执、顶撞，但可于比赛结束后两小时内由领队以书面形式向赛项裁判长提出书面仲裁申请。由赛项裁判长组织团队调查核实并于接到仲裁书面申请两小时内给与回复。</w:t>
      </w:r>
    </w:p>
    <w:p>
      <w:pPr>
        <w:pStyle w:val="16"/>
        <w:pageBreakBefore w:val="0"/>
        <w:widowControl w:val="0"/>
        <w:numPr>
          <w:ilvl w:val="0"/>
          <w:numId w:val="4"/>
        </w:numPr>
        <w:tabs>
          <w:tab w:val="left" w:pos="1030"/>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104" w:name="bookmark174"/>
      <w:bookmarkEnd w:id="104"/>
      <w:r>
        <w:rPr>
          <w:rFonts w:asciiTheme="minorEastAsia" w:hAnsiTheme="minorEastAsia" w:eastAsiaTheme="minorEastAsia"/>
          <w:sz w:val="21"/>
          <w:szCs w:val="21"/>
        </w:rPr>
        <w:t>参加技能操作竞赛的选手如提前完成作业，选手应在指定的区域等待，经裁判同意方可离开赛场。</w:t>
      </w:r>
    </w:p>
    <w:p>
      <w:pPr>
        <w:pStyle w:val="16"/>
        <w:pageBreakBefore w:val="0"/>
        <w:widowControl w:val="0"/>
        <w:numPr>
          <w:ilvl w:val="0"/>
          <w:numId w:val="4"/>
        </w:numPr>
        <w:tabs>
          <w:tab w:val="left" w:pos="1035"/>
        </w:tabs>
        <w:kinsoku/>
        <w:wordWrap/>
        <w:overflowPunct/>
        <w:topLinePunct w:val="0"/>
        <w:autoSpaceDE/>
        <w:autoSpaceDN/>
        <w:bidi w:val="0"/>
        <w:adjustRightInd/>
        <w:snapToGrid/>
        <w:spacing w:line="360" w:lineRule="auto"/>
        <w:ind w:firstLine="640"/>
        <w:jc w:val="both"/>
        <w:textAlignment w:val="auto"/>
        <w:rPr>
          <w:rFonts w:asciiTheme="minorEastAsia" w:hAnsiTheme="minorEastAsia" w:eastAsiaTheme="minorEastAsia"/>
          <w:sz w:val="21"/>
          <w:szCs w:val="21"/>
        </w:rPr>
      </w:pPr>
      <w:bookmarkStart w:id="105" w:name="bookmark175"/>
      <w:bookmarkEnd w:id="105"/>
      <w:r>
        <w:rPr>
          <w:rFonts w:asciiTheme="minorEastAsia" w:hAnsiTheme="minorEastAsia" w:eastAsiaTheme="minorEastAsia"/>
          <w:sz w:val="21"/>
          <w:szCs w:val="21"/>
        </w:rPr>
        <w:t>竞赛过程中如因竞赛设备或检测仪器发生故障，应及时报告裁判，不得私自处理，否则取消本场次比赛资格。</w:t>
      </w:r>
    </w:p>
    <w:p>
      <w:pPr>
        <w:pStyle w:val="16"/>
        <w:pageBreakBefore w:val="0"/>
        <w:widowControl w:val="0"/>
        <w:numPr>
          <w:ilvl w:val="0"/>
          <w:numId w:val="4"/>
        </w:numPr>
        <w:tabs>
          <w:tab w:val="left" w:pos="1184"/>
        </w:tabs>
        <w:kinsoku/>
        <w:wordWrap/>
        <w:overflowPunct/>
        <w:topLinePunct w:val="0"/>
        <w:autoSpaceDE/>
        <w:autoSpaceDN/>
        <w:bidi w:val="0"/>
        <w:adjustRightInd/>
        <w:snapToGrid/>
        <w:spacing w:after="140" w:line="360" w:lineRule="auto"/>
        <w:ind w:firstLine="640"/>
        <w:jc w:val="both"/>
        <w:textAlignment w:val="auto"/>
        <w:rPr>
          <w:rFonts w:hint="eastAsia" w:cs="Times New Roman" w:asciiTheme="minorEastAsia" w:hAnsiTheme="minorEastAsia" w:eastAsiaTheme="minorEastAsia"/>
          <w:b w:val="0"/>
          <w:bCs w:val="0"/>
          <w:sz w:val="21"/>
          <w:szCs w:val="21"/>
          <w:lang w:eastAsia="zh-TW"/>
        </w:rPr>
      </w:pPr>
      <w:bookmarkStart w:id="106" w:name="bookmark176"/>
      <w:bookmarkEnd w:id="106"/>
      <w:r>
        <w:rPr>
          <w:rFonts w:asciiTheme="minorEastAsia" w:hAnsiTheme="minorEastAsia" w:eastAsiaTheme="minorEastAsia"/>
          <w:sz w:val="21"/>
          <w:szCs w:val="21"/>
        </w:rPr>
        <w:t>技能大赛参赛作品的版权归大赛组委会所有，由大赛组委会统一使用与管理。</w:t>
      </w:r>
    </w:p>
    <w:p>
      <w:pPr>
        <w:pStyle w:val="4"/>
        <w:pageBreakBefore w:val="0"/>
        <w:widowControl w:val="0"/>
        <w:kinsoku/>
        <w:wordWrap/>
        <w:overflowPunct/>
        <w:topLinePunct w:val="0"/>
        <w:bidi w:val="0"/>
        <w:adjustRightInd/>
        <w:snapToGrid/>
        <w:spacing w:line="360" w:lineRule="auto"/>
        <w:ind w:left="0" w:firstLine="422" w:firstLineChars="200"/>
        <w:jc w:val="both"/>
        <w:textAlignment w:val="auto"/>
        <w:rPr>
          <w:rFonts w:cs="Times New Roman" w:asciiTheme="minorEastAsia" w:hAnsiTheme="minorEastAsia" w:eastAsiaTheme="minorEastAsia"/>
          <w:b/>
          <w:bCs/>
          <w:sz w:val="21"/>
          <w:szCs w:val="21"/>
        </w:rPr>
      </w:pPr>
      <w:r>
        <w:rPr>
          <w:rFonts w:hint="eastAsia" w:cs="Times New Roman" w:asciiTheme="minorEastAsia" w:hAnsiTheme="minorEastAsia" w:eastAsiaTheme="minorEastAsia"/>
          <w:b/>
          <w:bCs/>
          <w:sz w:val="21"/>
          <w:szCs w:val="21"/>
        </w:rPr>
        <w:t>十</w:t>
      </w:r>
      <w:r>
        <w:rPr>
          <w:rFonts w:hint="eastAsia" w:cs="Times New Roman" w:asciiTheme="minorEastAsia" w:hAnsiTheme="minorEastAsia" w:eastAsiaTheme="minorEastAsia"/>
          <w:b/>
          <w:bCs/>
          <w:sz w:val="21"/>
          <w:szCs w:val="21"/>
          <w:lang w:val="en-US"/>
        </w:rPr>
        <w:t>四</w:t>
      </w:r>
      <w:r>
        <w:rPr>
          <w:rFonts w:hint="eastAsia" w:cs="Times New Roman" w:asciiTheme="minorEastAsia" w:hAnsiTheme="minorEastAsia" w:eastAsiaTheme="minorEastAsia"/>
          <w:b/>
          <w:bCs/>
          <w:sz w:val="21"/>
          <w:szCs w:val="21"/>
        </w:rPr>
        <w:t>、本竞赛项目的最终解释权归大赛组委会。</w:t>
      </w:r>
      <w:bookmarkEnd w:id="62"/>
      <w:bookmarkEnd w:id="63"/>
      <w:bookmarkEnd w:id="64"/>
    </w:p>
    <w:p>
      <w:pPr>
        <w:pStyle w:val="3"/>
        <w:pageBreakBefore w:val="0"/>
        <w:widowControl w:val="0"/>
        <w:kinsoku/>
        <w:wordWrap/>
        <w:overflowPunct/>
        <w:topLinePunct w:val="0"/>
        <w:bidi w:val="0"/>
        <w:adjustRightInd/>
        <w:snapToGrid/>
        <w:spacing w:line="360" w:lineRule="auto"/>
        <w:ind w:firstLine="420" w:firstLineChars="200"/>
        <w:jc w:val="both"/>
        <w:textAlignment w:val="auto"/>
        <w:rPr>
          <w:rFonts w:cs="Times New Roman" w:asciiTheme="minorEastAsia" w:hAnsiTheme="minorEastAsia" w:eastAsiaTheme="minorEastAsia"/>
          <w:sz w:val="21"/>
          <w:szCs w:val="21"/>
        </w:rPr>
      </w:pPr>
    </w:p>
    <w:p>
      <w:pPr>
        <w:pStyle w:val="2"/>
        <w:rPr>
          <w:rFonts w:hint="eastAsia" w:asciiTheme="minorEastAsia" w:hAnsiTheme="minorEastAsia" w:eastAsiaTheme="minorEastAsia"/>
          <w:sz w:val="21"/>
          <w:szCs w:val="21"/>
        </w:rPr>
      </w:pPr>
    </w:p>
    <w:p>
      <w:pPr>
        <w:pStyle w:val="2"/>
        <w:rPr>
          <w:rFonts w:hint="eastAsia" w:asciiTheme="minorEastAsia" w:hAnsiTheme="minorEastAsia" w:eastAsiaTheme="minorEastAsia"/>
          <w:sz w:val="21"/>
          <w:szCs w:val="21"/>
        </w:rPr>
        <w:sectPr>
          <w:pgSz w:w="11900" w:h="16840"/>
          <w:pgMar w:top="1440" w:right="1531" w:bottom="1440" w:left="1531" w:header="407" w:footer="0" w:gutter="0"/>
          <w:cols w:equalWidth="0" w:num="1">
            <w:col w:w="9660"/>
          </w:cols>
          <w:rtlGutter w:val="0"/>
          <w:docGrid w:linePitch="0" w:charSpace="0"/>
        </w:sectPr>
      </w:pPr>
    </w:p>
    <w:p>
      <w:pPr>
        <w:pStyle w:val="3"/>
        <w:pageBreakBefore w:val="0"/>
        <w:widowControl w:val="0"/>
        <w:kinsoku/>
        <w:wordWrap/>
        <w:overflowPunct/>
        <w:topLinePunct w:val="0"/>
        <w:bidi w:val="0"/>
        <w:adjustRightInd/>
        <w:snapToGrid/>
        <w:spacing w:line="360" w:lineRule="auto"/>
        <w:jc w:val="both"/>
        <w:textAlignment w:val="auto"/>
        <w:rPr>
          <w:rFonts w:cs="Times New Roman" w:asciiTheme="minorEastAsia" w:hAnsiTheme="minorEastAsia" w:eastAsiaTheme="minorEastAsia"/>
          <w:sz w:val="21"/>
          <w:szCs w:val="21"/>
        </w:rPr>
      </w:pPr>
      <w:bookmarkStart w:id="107" w:name="8、字段数据类型"/>
      <w:bookmarkEnd w:id="107"/>
    </w:p>
    <w:sectPr>
      <w:footerReference r:id="rId3" w:type="default"/>
      <w:pgSz w:w="11910" w:h="16840"/>
      <w:pgMar w:top="1440" w:right="1531" w:bottom="1440" w:left="1531" w:header="0" w:footer="1196" w:gutter="0"/>
      <w:pgNumType w:start="10"/>
      <w:cols w:equalWidth="0" w:num="1">
        <w:col w:w="9310"/>
      </w:cols>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文本框 1026" o:spid="_x0000_s1026" o:spt="202" type="#_x0000_t202" style="position:absolute;left:0pt;margin-left:291pt;margin-top:771.1pt;height:11pt;width:13.15pt;mso-position-horizontal-relative:page;mso-position-vertical-relative:page;z-index:-251657216;mso-width-relative:page;mso-height-relative:page;" filled="f" stroked="f" coordsize="21600,21600" o:gfxdata="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pEOVTaAAAADQEAAA8AAAAAAAAAAQAgAAAAIgAAAGRycy9kb3ducmV2LnhtbFBL&#10;AQIUABQAAAAIAIdO4kAUsAHsuwEAAHQDAAAOAAAAAAAAAAEAIAAAACkBAABkcnMvZTJvRG9jLnht&#10;bFBLBQYAAAAABgAGAFkBAABWBQAAAAA=&#10;">
          <v:path/>
          <v:fill on="f" focussize="0,0"/>
          <v:stroke on="f" joinstyle="miter"/>
          <v:imagedata o:title=""/>
          <o:lock v:ext="edit"/>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decimal"/>
      <w:lvlText w:val="%1."/>
      <w:lvlJc w:val="left"/>
      <w:rPr>
        <w:rFonts w:hint="default" w:ascii="宋体" w:hAnsi="宋体" w:eastAsia="宋体" w:cs="宋体"/>
        <w:b w:val="0"/>
        <w:bCs w:val="0"/>
        <w:i w:val="0"/>
        <w:iCs w:val="0"/>
        <w:smallCaps w:val="0"/>
        <w:strike w:val="0"/>
        <w:color w:val="000000"/>
        <w:spacing w:val="0"/>
        <w:w w:val="100"/>
        <w:position w:val="0"/>
        <w:sz w:val="21"/>
        <w:szCs w:val="21"/>
        <w:u w:val="none"/>
        <w:shd w:val="clear" w:color="auto" w:fill="auto"/>
        <w:lang w:val="en-US" w:eastAsia="en-US" w:bidi="en-US"/>
      </w:rPr>
    </w:lvl>
  </w:abstractNum>
  <w:abstractNum w:abstractNumId="1">
    <w:nsid w:val="0248C179"/>
    <w:multiLevelType w:val="singleLevel"/>
    <w:tmpl w:val="0248C179"/>
    <w:lvl w:ilvl="0" w:tentative="0">
      <w:start w:val="1"/>
      <w:numFmt w:val="decimal"/>
      <w:lvlText w:val="%1."/>
      <w:lvlJc w:val="left"/>
      <w:rPr>
        <w:rFonts w:hint="default" w:ascii="宋体" w:hAnsi="宋体" w:eastAsia="宋体" w:cs="宋体"/>
        <w:b w:val="0"/>
        <w:bCs w:val="0"/>
        <w:i w:val="0"/>
        <w:iCs w:val="0"/>
        <w:smallCaps w:val="0"/>
        <w:strike w:val="0"/>
        <w:color w:val="000000"/>
        <w:spacing w:val="0"/>
        <w:w w:val="100"/>
        <w:position w:val="0"/>
        <w:sz w:val="21"/>
        <w:szCs w:val="21"/>
        <w:u w:val="none"/>
        <w:shd w:val="clear" w:color="auto" w:fill="auto"/>
        <w:lang w:val="zh-TW" w:eastAsia="zh-TW" w:bidi="zh-TW"/>
      </w:rPr>
    </w:lvl>
  </w:abstractNum>
  <w:abstractNum w:abstractNumId="2">
    <w:nsid w:val="25B654F3"/>
    <w:multiLevelType w:val="singleLevel"/>
    <w:tmpl w:val="25B654F3"/>
    <w:lvl w:ilvl="0" w:tentative="0">
      <w:start w:val="1"/>
      <w:numFmt w:val="decimal"/>
      <w:lvlText w:val="%1."/>
      <w:lvlJc w:val="left"/>
      <w:rPr>
        <w:rFonts w:hint="default" w:ascii="宋体" w:hAnsi="宋体" w:eastAsia="宋体" w:cs="宋体"/>
        <w:b w:val="0"/>
        <w:bCs w:val="0"/>
        <w:i w:val="0"/>
        <w:iCs w:val="0"/>
        <w:smallCaps w:val="0"/>
        <w:strike w:val="0"/>
        <w:color w:val="000000"/>
        <w:spacing w:val="0"/>
        <w:w w:val="100"/>
        <w:position w:val="0"/>
        <w:sz w:val="21"/>
        <w:szCs w:val="21"/>
        <w:u w:val="none"/>
        <w:shd w:val="clear" w:color="auto" w:fill="auto"/>
        <w:lang w:val="en-US" w:eastAsia="en-US" w:bidi="en-US"/>
      </w:rPr>
    </w:lvl>
  </w:abstractNum>
  <w:abstractNum w:abstractNumId="3">
    <w:nsid w:val="72183CF9"/>
    <w:multiLevelType w:val="singleLevel"/>
    <w:tmpl w:val="72183CF9"/>
    <w:lvl w:ilvl="0" w:tentative="0">
      <w:start w:val="1"/>
      <w:numFmt w:val="decimal"/>
      <w:lvlText w:val="%1."/>
      <w:lvlJc w:val="left"/>
      <w:rPr>
        <w:rFonts w:hint="default" w:ascii="宋体" w:hAnsi="宋体" w:eastAsia="宋体" w:cs="宋体"/>
        <w:b w:val="0"/>
        <w:bCs w:val="0"/>
        <w:i w:val="0"/>
        <w:iCs w:val="0"/>
        <w:smallCaps w:val="0"/>
        <w:strike w:val="0"/>
        <w:color w:val="000000"/>
        <w:spacing w:val="0"/>
        <w:w w:val="100"/>
        <w:position w:val="0"/>
        <w:sz w:val="21"/>
        <w:szCs w:val="21"/>
        <w:u w:val="none"/>
        <w:shd w:val="clear" w:color="auto" w:fill="auto"/>
        <w:lang w:val="zh-TW" w:eastAsia="zh-TW" w:bidi="zh-TW"/>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hdrShapeDefaults>
    <o:shapelayout v:ext="edit">
      <o:idmap v:ext="edit" data="1"/>
    </o:shapelayout>
  </w:hdrShapeDefaults>
  <w:compat>
    <w:ulTrailSpace/>
    <w:doNotExpandShiftReturn/>
    <w:useFELayout/>
    <w:compatSetting w:name="compatibilityMode" w:uri="http://schemas.microsoft.com/office/word" w:val="12"/>
  </w:compat>
  <w:rsids>
    <w:rsidRoot w:val="000821EE"/>
    <w:rsid w:val="000821EE"/>
    <w:rsid w:val="0043593F"/>
    <w:rsid w:val="00764BD0"/>
    <w:rsid w:val="00BE4909"/>
    <w:rsid w:val="00D5577D"/>
    <w:rsid w:val="00D61261"/>
    <w:rsid w:val="00F57358"/>
    <w:rsid w:val="055B62F7"/>
    <w:rsid w:val="0B6E199F"/>
    <w:rsid w:val="0B6E6C52"/>
    <w:rsid w:val="0BBC5E8C"/>
    <w:rsid w:val="0FD87418"/>
    <w:rsid w:val="1249623C"/>
    <w:rsid w:val="137C7425"/>
    <w:rsid w:val="14BE5C61"/>
    <w:rsid w:val="164C1BA2"/>
    <w:rsid w:val="17134B87"/>
    <w:rsid w:val="19C42C4A"/>
    <w:rsid w:val="1BC53F1B"/>
    <w:rsid w:val="1CA6595F"/>
    <w:rsid w:val="20246A99"/>
    <w:rsid w:val="242D06C5"/>
    <w:rsid w:val="26FE4EDB"/>
    <w:rsid w:val="28DB3F72"/>
    <w:rsid w:val="2C274D25"/>
    <w:rsid w:val="2C7A61CA"/>
    <w:rsid w:val="2D65121A"/>
    <w:rsid w:val="2FC42E49"/>
    <w:rsid w:val="3547558D"/>
    <w:rsid w:val="36E863F3"/>
    <w:rsid w:val="3F0D1C79"/>
    <w:rsid w:val="3FAF2A30"/>
    <w:rsid w:val="4597347B"/>
    <w:rsid w:val="47476FF0"/>
    <w:rsid w:val="4D9D2A1A"/>
    <w:rsid w:val="4F9C1316"/>
    <w:rsid w:val="4FA12E89"/>
    <w:rsid w:val="4FDA384D"/>
    <w:rsid w:val="503A643C"/>
    <w:rsid w:val="51D76588"/>
    <w:rsid w:val="522F2791"/>
    <w:rsid w:val="528844B2"/>
    <w:rsid w:val="52C54C8F"/>
    <w:rsid w:val="577B4167"/>
    <w:rsid w:val="5A516884"/>
    <w:rsid w:val="5BEA03A5"/>
    <w:rsid w:val="5EB54C44"/>
    <w:rsid w:val="5F933402"/>
    <w:rsid w:val="60DE360C"/>
    <w:rsid w:val="62547A8C"/>
    <w:rsid w:val="64326871"/>
    <w:rsid w:val="65736D3C"/>
    <w:rsid w:val="675B2E14"/>
    <w:rsid w:val="6E8551F0"/>
    <w:rsid w:val="70FD3576"/>
    <w:rsid w:val="72655B2B"/>
    <w:rsid w:val="73DE10B6"/>
    <w:rsid w:val="74654861"/>
    <w:rsid w:val="75025B0D"/>
    <w:rsid w:val="75AF1470"/>
    <w:rsid w:val="75B23251"/>
    <w:rsid w:val="76EA061D"/>
    <w:rsid w:val="7BF4583A"/>
    <w:rsid w:val="7D227AE5"/>
    <w:rsid w:val="7DD15255"/>
    <w:rsid w:val="7FC63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paragraph" w:styleId="4">
    <w:name w:val="heading 1"/>
    <w:basedOn w:val="1"/>
    <w:next w:val="1"/>
    <w:qFormat/>
    <w:uiPriority w:val="1"/>
    <w:pPr>
      <w:ind w:left="920"/>
      <w:outlineLvl w:val="0"/>
    </w:pPr>
    <w:rPr>
      <w:b/>
      <w:bCs/>
      <w:sz w:val="30"/>
      <w:szCs w:val="30"/>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semiHidden/>
    <w:unhideWhenUsed/>
    <w:qFormat/>
    <w:uiPriority w:val="99"/>
    <w:pPr>
      <w:spacing w:after="120"/>
      <w:ind w:firstLine="420" w:firstLineChars="100"/>
    </w:pPr>
    <w:rPr>
      <w:sz w:val="22"/>
      <w:szCs w:val="22"/>
    </w:rPr>
  </w:style>
  <w:style w:type="paragraph" w:styleId="3">
    <w:name w:val="Body Text"/>
    <w:basedOn w:val="1"/>
    <w:qFormat/>
    <w:uiPriority w:val="1"/>
    <w:rPr>
      <w:sz w:val="30"/>
      <w:szCs w:val="30"/>
    </w:rPr>
  </w:style>
  <w:style w:type="paragraph" w:styleId="5">
    <w:name w:val="annotation text"/>
    <w:basedOn w:val="1"/>
    <w:qFormat/>
    <w:uiPriority w:val="0"/>
  </w:style>
  <w:style w:type="paragraph" w:styleId="6">
    <w:name w:val="Balloon Text"/>
    <w:basedOn w:val="1"/>
    <w:link w:val="22"/>
    <w:qFormat/>
    <w:uiPriority w:val="0"/>
    <w:rPr>
      <w:sz w:val="18"/>
      <w:szCs w:val="18"/>
    </w:rPr>
  </w:style>
  <w:style w:type="paragraph" w:styleId="7">
    <w:name w:val="footer"/>
    <w:basedOn w:val="1"/>
    <w:link w:val="21"/>
    <w:qFormat/>
    <w:uiPriority w:val="0"/>
    <w:pPr>
      <w:tabs>
        <w:tab w:val="center" w:pos="4153"/>
        <w:tab w:val="right" w:pos="8306"/>
      </w:tabs>
      <w:snapToGrid w:val="0"/>
    </w:pPr>
    <w:rPr>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qFormat/>
    <w:uiPriority w:val="0"/>
    <w:rPr>
      <w:sz w:val="21"/>
      <w:szCs w:val="21"/>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ind w:left="1126" w:hanging="207"/>
    </w:pPr>
  </w:style>
  <w:style w:type="paragraph" w:customStyle="1" w:styleId="15">
    <w:name w:val="Table Paragraph"/>
    <w:basedOn w:val="1"/>
    <w:qFormat/>
    <w:uiPriority w:val="1"/>
    <w:rPr>
      <w:rFonts w:ascii="宋体" w:hAnsi="宋体" w:eastAsia="宋体" w:cs="宋体"/>
    </w:rPr>
  </w:style>
  <w:style w:type="paragraph" w:customStyle="1" w:styleId="16">
    <w:name w:val="Body text|1"/>
    <w:basedOn w:val="1"/>
    <w:link w:val="24"/>
    <w:qFormat/>
    <w:uiPriority w:val="0"/>
    <w:pPr>
      <w:spacing w:line="389" w:lineRule="auto"/>
      <w:ind w:firstLine="400"/>
    </w:pPr>
    <w:rPr>
      <w:rFonts w:ascii="宋体" w:hAnsi="宋体" w:eastAsia="宋体" w:cs="宋体"/>
      <w:sz w:val="30"/>
      <w:szCs w:val="30"/>
      <w:lang w:val="zh-TW" w:eastAsia="zh-TW" w:bidi="zh-TW"/>
    </w:rPr>
  </w:style>
  <w:style w:type="paragraph" w:customStyle="1" w:styleId="17">
    <w:name w:val="Heading #1|1"/>
    <w:basedOn w:val="1"/>
    <w:link w:val="23"/>
    <w:qFormat/>
    <w:uiPriority w:val="0"/>
    <w:pPr>
      <w:spacing w:after="140" w:line="562" w:lineRule="exact"/>
      <w:ind w:firstLine="690"/>
      <w:outlineLvl w:val="0"/>
    </w:pPr>
    <w:rPr>
      <w:rFonts w:ascii="宋体" w:hAnsi="宋体" w:eastAsia="宋体" w:cs="宋体"/>
      <w:sz w:val="32"/>
      <w:szCs w:val="32"/>
      <w:lang w:val="zh-TW" w:eastAsia="zh-TW" w:bidi="zh-TW"/>
    </w:rPr>
  </w:style>
  <w:style w:type="paragraph" w:customStyle="1" w:styleId="18">
    <w:name w:val="Heading #2|1"/>
    <w:basedOn w:val="1"/>
    <w:link w:val="25"/>
    <w:qFormat/>
    <w:uiPriority w:val="0"/>
    <w:pPr>
      <w:spacing w:after="140" w:line="562" w:lineRule="exact"/>
      <w:ind w:firstLine="690"/>
      <w:outlineLvl w:val="1"/>
    </w:pPr>
    <w:rPr>
      <w:rFonts w:ascii="宋体" w:hAnsi="宋体" w:eastAsia="宋体" w:cs="宋体"/>
      <w:b/>
      <w:bCs/>
      <w:sz w:val="30"/>
      <w:szCs w:val="30"/>
      <w:lang w:val="zh-TW" w:eastAsia="zh-TW" w:bidi="zh-TW"/>
    </w:rPr>
  </w:style>
  <w:style w:type="paragraph" w:customStyle="1" w:styleId="19">
    <w:name w:val="Header or footer|1"/>
    <w:basedOn w:val="1"/>
    <w:qFormat/>
    <w:uiPriority w:val="0"/>
    <w:rPr>
      <w:sz w:val="18"/>
      <w:szCs w:val="18"/>
      <w:lang w:val="zh-TW" w:eastAsia="zh-TW" w:bidi="zh-TW"/>
    </w:rPr>
  </w:style>
  <w:style w:type="character" w:customStyle="1" w:styleId="20">
    <w:name w:val="页眉 Char"/>
    <w:basedOn w:val="11"/>
    <w:link w:val="8"/>
    <w:qFormat/>
    <w:uiPriority w:val="0"/>
    <w:rPr>
      <w:rFonts w:ascii="仿宋" w:hAnsi="仿宋" w:eastAsia="仿宋" w:cs="仿宋"/>
      <w:sz w:val="18"/>
      <w:szCs w:val="18"/>
      <w:lang w:val="zh-CN" w:bidi="zh-CN"/>
    </w:rPr>
  </w:style>
  <w:style w:type="character" w:customStyle="1" w:styleId="21">
    <w:name w:val="页脚 Char"/>
    <w:basedOn w:val="11"/>
    <w:link w:val="7"/>
    <w:qFormat/>
    <w:uiPriority w:val="0"/>
    <w:rPr>
      <w:rFonts w:ascii="仿宋" w:hAnsi="仿宋" w:eastAsia="仿宋" w:cs="仿宋"/>
      <w:sz w:val="18"/>
      <w:szCs w:val="18"/>
      <w:lang w:val="zh-CN" w:bidi="zh-CN"/>
    </w:rPr>
  </w:style>
  <w:style w:type="character" w:customStyle="1" w:styleId="22">
    <w:name w:val="批注框文本 Char"/>
    <w:basedOn w:val="11"/>
    <w:link w:val="6"/>
    <w:qFormat/>
    <w:uiPriority w:val="0"/>
    <w:rPr>
      <w:rFonts w:ascii="仿宋" w:hAnsi="仿宋" w:eastAsia="仿宋" w:cs="仿宋"/>
      <w:sz w:val="18"/>
      <w:szCs w:val="18"/>
      <w:lang w:val="zh-CN" w:bidi="zh-CN"/>
    </w:rPr>
  </w:style>
  <w:style w:type="character" w:customStyle="1" w:styleId="23">
    <w:name w:val="Heading #1|1_"/>
    <w:basedOn w:val="11"/>
    <w:link w:val="17"/>
    <w:qFormat/>
    <w:uiPriority w:val="0"/>
    <w:rPr>
      <w:rFonts w:ascii="宋体" w:hAnsi="宋体" w:eastAsia="宋体" w:cs="宋体"/>
      <w:sz w:val="32"/>
      <w:szCs w:val="32"/>
      <w:lang w:val="zh-TW" w:eastAsia="zh-TW" w:bidi="zh-TW"/>
    </w:rPr>
  </w:style>
  <w:style w:type="character" w:customStyle="1" w:styleId="24">
    <w:name w:val="Body text|1_"/>
    <w:basedOn w:val="11"/>
    <w:link w:val="16"/>
    <w:qFormat/>
    <w:uiPriority w:val="0"/>
    <w:rPr>
      <w:rFonts w:ascii="宋体" w:hAnsi="宋体" w:eastAsia="宋体" w:cs="宋体"/>
      <w:sz w:val="30"/>
      <w:szCs w:val="30"/>
      <w:lang w:val="zh-TW" w:eastAsia="zh-TW" w:bidi="zh-TW"/>
    </w:rPr>
  </w:style>
  <w:style w:type="character" w:customStyle="1" w:styleId="25">
    <w:name w:val="Heading #2|1_"/>
    <w:basedOn w:val="11"/>
    <w:link w:val="18"/>
    <w:qFormat/>
    <w:uiPriority w:val="0"/>
    <w:rPr>
      <w:rFonts w:ascii="宋体" w:hAnsi="宋体" w:eastAsia="宋体" w:cs="宋体"/>
      <w:b/>
      <w:bCs/>
      <w:sz w:val="30"/>
      <w:szCs w:val="3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12</Pages>
  <Words>1145</Words>
  <Characters>6530</Characters>
  <Lines>54</Lines>
  <Paragraphs>15</Paragraphs>
  <TotalTime>1</TotalTime>
  <ScaleCrop>false</ScaleCrop>
  <LinksUpToDate>false</LinksUpToDate>
  <CharactersWithSpaces>7660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2021-03-14T01:48:00Z</dcterms:created>
  <dc:creator>Administrator.WIN-JB5GNCBEMSL</dc:creator>
  <cp:lastModifiedBy>李燕</cp:lastModifiedBy>
  <dcterms:modified xsi:type="dcterms:W3CDTF">2021-03-24T03:04:43Z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2020-10-14T00:00:00Z</vt:filetime>
  </property>
  <property fmtid="{D5CDD505-2E9C-101B-9397-08002B2CF9AE}" pid="3" name="Creator">
    <vt:lpwstr>WPS 文字</vt:lpwstr>
  </property>
  <property fmtid="{D5CDD505-2E9C-101B-9397-08002B2CF9AE}" pid="4" name="LastSaved">
    <vt:filetime>2021-03-14T00:00:00Z</vt:filetime>
  </property>
  <property fmtid="{D5CDD505-2E9C-101B-9397-08002B2CF9AE}" pid="5" name="KSOProductBuildVer">
    <vt:lpwstr>2052-11.1.0.10356</vt:lpwstr>
  </property>
  <property fmtid="{D5CDD505-2E9C-101B-9397-08002B2CF9AE}" pid="6" name="ICV">
    <vt:lpwstr>A5990A13CCC1498C88C4D5393770A188</vt:lpwstr>
  </property>
</Properties>
</file>