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bookmarkStart w:id="0" w:name="_Toc508007046"/>
      <w:bookmarkStart w:id="1" w:name="_Toc507526306"/>
    </w:p>
    <w:p>
      <w:pPr>
        <w:adjustRightInd w:val="0"/>
        <w:snapToGrid w:val="0"/>
        <w:spacing w:line="360" w:lineRule="auto"/>
        <w:jc w:val="center"/>
        <w:rPr>
          <w:rFonts w:asciiTheme="minorEastAsia" w:hAnsiTheme="minorEastAsia" w:eastAsiaTheme="minorEastAsia"/>
          <w:b/>
          <w:snapToGrid w:val="0"/>
          <w:color w:val="000000" w:themeColor="text1"/>
          <w:kern w:val="0"/>
          <w:sz w:val="32"/>
          <w:szCs w:val="32"/>
          <w14:textFill>
            <w14:solidFill>
              <w14:schemeClr w14:val="tx1"/>
            </w14:solidFill>
          </w14:textFill>
        </w:rPr>
      </w:pPr>
      <w:r>
        <w:rPr>
          <w:rFonts w:hint="eastAsia" w:asciiTheme="minorEastAsia" w:hAnsiTheme="minorEastAsia" w:eastAsiaTheme="minorEastAsia"/>
          <w:b/>
          <w:snapToGrid w:val="0"/>
          <w:color w:val="000000" w:themeColor="text1"/>
          <w:kern w:val="0"/>
          <w:sz w:val="32"/>
          <w:szCs w:val="32"/>
          <w14:textFill>
            <w14:solidFill>
              <w14:schemeClr w14:val="tx1"/>
            </w14:solidFill>
          </w14:textFill>
        </w:rPr>
        <w:t>2021年全省职业院校技能大赛</w:t>
      </w:r>
    </w:p>
    <w:p>
      <w:pPr>
        <w:adjustRightInd w:val="0"/>
        <w:snapToGrid w:val="0"/>
        <w:spacing w:line="360" w:lineRule="auto"/>
        <w:jc w:val="center"/>
        <w:rPr>
          <w:rFonts w:asciiTheme="minorEastAsia" w:hAnsiTheme="minorEastAsia" w:eastAsiaTheme="minorEastAsia"/>
          <w:b/>
          <w:snapToGrid w:val="0"/>
          <w:color w:val="000000" w:themeColor="text1"/>
          <w:kern w:val="0"/>
          <w:sz w:val="32"/>
          <w:szCs w:val="32"/>
          <w14:textFill>
            <w14:solidFill>
              <w14:schemeClr w14:val="tx1"/>
            </w14:solidFill>
          </w14:textFill>
        </w:rPr>
      </w:pPr>
      <w:r>
        <w:rPr>
          <w:rFonts w:hint="eastAsia" w:asciiTheme="minorEastAsia" w:hAnsiTheme="minorEastAsia" w:eastAsiaTheme="minorEastAsia"/>
          <w:b/>
          <w:snapToGrid w:val="0"/>
          <w:color w:val="000000" w:themeColor="text1"/>
          <w:kern w:val="0"/>
          <w:sz w:val="32"/>
          <w:szCs w:val="32"/>
          <w14:textFill>
            <w14:solidFill>
              <w14:schemeClr w14:val="tx1"/>
            </w14:solidFill>
          </w14:textFill>
        </w:rPr>
        <w:t>高职学生组“物流服务师职业技能”竞赛规程</w:t>
      </w:r>
      <w:bookmarkEnd w:id="0"/>
      <w:bookmarkEnd w:id="1"/>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一、竞赛项目名称</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bookmarkStart w:id="2" w:name="_Toc288050356"/>
      <w:bookmarkStart w:id="3" w:name="_Toc288058398"/>
      <w:bookmarkStart w:id="4" w:name="_Toc288059828"/>
      <w:r>
        <w:rPr>
          <w:rFonts w:hint="eastAsia" w:asciiTheme="minorEastAsia" w:hAnsiTheme="minorEastAsia" w:eastAsiaTheme="minorEastAsia"/>
          <w:snapToGrid w:val="0"/>
          <w:color w:val="000000" w:themeColor="text1"/>
          <w:kern w:val="0"/>
          <w:szCs w:val="21"/>
          <w14:textFill>
            <w14:solidFill>
              <w14:schemeClr w14:val="tx1"/>
            </w14:solidFill>
          </w14:textFill>
        </w:rPr>
        <w:t>物流服务师职业技能</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二、竞赛目的</w:t>
      </w:r>
      <w:bookmarkEnd w:id="2"/>
      <w:bookmarkEnd w:id="3"/>
      <w:bookmarkEnd w:id="4"/>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bookmarkStart w:id="5" w:name="_Toc288050357"/>
      <w:bookmarkStart w:id="6" w:name="_Toc288059829"/>
      <w:bookmarkStart w:id="7" w:name="_Toc288058399"/>
      <w:r>
        <w:rPr>
          <w:rFonts w:hint="eastAsia" w:asciiTheme="minorEastAsia" w:hAnsiTheme="minorEastAsia" w:eastAsiaTheme="minorEastAsia"/>
          <w:snapToGrid w:val="0"/>
          <w:color w:val="000000" w:themeColor="text1"/>
          <w:kern w:val="0"/>
          <w:szCs w:val="21"/>
          <w14:textFill>
            <w14:solidFill>
              <w14:schemeClr w14:val="tx1"/>
            </w14:solidFill>
          </w14:textFill>
        </w:rPr>
        <w:t>为全面贯彻落实党的十九大提出的“建设知识型、技能型、创新型劳动者大军，弘扬劳模精神和工匠精神，营造劳动光荣的社会风尚和精益求精的敬业风气”要求，加快培养和选拔高技能人才，推动我国高技能人才队伍建设，围绕《教育部甘肃省人民政府关于整省推进职业教育发展打造“技能甘肃”的意见》，提质培优、增值赋能，为新时代甘肃融入“一带一路”建设打造“五个制高点”提供技术技能人才支撑。通过技能竞赛以赛促建，以赛促学，检验物流人才培养体系，创新物流人才培养模式，引领和促进职业院校物流类专业教学改革；激发和调动行业企业关注和参与物流专业教学改革的主动性和积极性，提升培养专业人才的市场匹配度；提升教师实践能力，培养学生职业技能和工匠精神。</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三、竞赛方式和内容</w:t>
      </w:r>
      <w:bookmarkEnd w:id="5"/>
      <w:bookmarkEnd w:id="6"/>
      <w:bookmarkEnd w:id="7"/>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（一）竞赛方式</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1．比赛以个人方式进行，每个选手须为甘肃省高等职业院校在籍学生，仅限1名指导教师。</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赛事持续进行2天。赛程由理论考核模块、货运代理模块、运输业务设计与运营模块、PPT汇报模块四部分组成，其中理论考核模块占总成绩15%、货运代理模块占总成绩30%、运输业务设计与运营模块占总成绩40%、PPT汇报模块占总成绩15%。</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（二）竞赛内容</w:t>
      </w:r>
    </w:p>
    <w:tbl>
      <w:tblPr>
        <w:tblStyle w:val="5"/>
        <w:tblW w:w="87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1417"/>
        <w:gridCol w:w="1418"/>
        <w:gridCol w:w="5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jc w:val="center"/>
        </w:trPr>
        <w:tc>
          <w:tcPr>
            <w:tcW w:w="708" w:type="dxa"/>
            <w:noWrap/>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序号</w:t>
            </w:r>
          </w:p>
        </w:tc>
        <w:tc>
          <w:tcPr>
            <w:tcW w:w="1417" w:type="dxa"/>
            <w:noWrap/>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项目</w:t>
            </w:r>
          </w:p>
        </w:tc>
        <w:tc>
          <w:tcPr>
            <w:tcW w:w="1418" w:type="dxa"/>
            <w:noWrap/>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主要内容</w:t>
            </w:r>
          </w:p>
        </w:tc>
        <w:tc>
          <w:tcPr>
            <w:tcW w:w="5244" w:type="dxa"/>
            <w:noWrap/>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内容说明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jc w:val="center"/>
        </w:trPr>
        <w:tc>
          <w:tcPr>
            <w:tcW w:w="708" w:type="dxa"/>
            <w:noWrap/>
            <w:vAlign w:val="center"/>
          </w:tcPr>
          <w:p>
            <w:pPr>
              <w:adjustRightInd w:val="0"/>
              <w:snapToGrid w:val="0"/>
              <w:jc w:val="center"/>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w:t>
            </w:r>
          </w:p>
        </w:tc>
        <w:tc>
          <w:tcPr>
            <w:tcW w:w="1417" w:type="dxa"/>
            <w:noWrap/>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理论考核模块</w:t>
            </w:r>
          </w:p>
        </w:tc>
        <w:tc>
          <w:tcPr>
            <w:tcW w:w="1418" w:type="dxa"/>
            <w:noWrap/>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运输知识</w:t>
            </w:r>
          </w:p>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货运代理知识</w:t>
            </w:r>
          </w:p>
        </w:tc>
        <w:tc>
          <w:tcPr>
            <w:tcW w:w="5244" w:type="dxa"/>
            <w:noWrap/>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题型为单选题、多选题、判断题，运输、货运代理知识各占比50%。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jc w:val="center"/>
        </w:trPr>
        <w:tc>
          <w:tcPr>
            <w:tcW w:w="708" w:type="dxa"/>
            <w:noWrap/>
            <w:vAlign w:val="center"/>
          </w:tcPr>
          <w:p>
            <w:pPr>
              <w:adjustRightInd w:val="0"/>
              <w:snapToGrid w:val="0"/>
              <w:jc w:val="center"/>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2</w:t>
            </w:r>
          </w:p>
        </w:tc>
        <w:tc>
          <w:tcPr>
            <w:tcW w:w="1417" w:type="dxa"/>
            <w:noWrap/>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货运代理模块</w:t>
            </w:r>
          </w:p>
        </w:tc>
        <w:tc>
          <w:tcPr>
            <w:tcW w:w="1418" w:type="dxa"/>
            <w:noWrap/>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海运业务</w:t>
            </w:r>
          </w:p>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综合业务</w:t>
            </w:r>
          </w:p>
        </w:tc>
        <w:tc>
          <w:tcPr>
            <w:tcW w:w="5244" w:type="dxa"/>
            <w:noWrap/>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贸易术语考核、海运报价运算、海运单证填写</w:t>
            </w:r>
            <w:r>
              <w:rPr>
                <w:rFonts w:hint="eastAsia" w:asciiTheme="minorEastAsia" w:hAnsiTheme="minorEastAsia" w:eastAsiaTheme="minorEastAsia"/>
                <w:snapToGrid w:val="0"/>
                <w:color w:val="000000" w:themeColor="text1"/>
                <w:kern w:val="0"/>
                <w:sz w:val="18"/>
                <w:szCs w:val="18"/>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8" w:hRule="atLeast"/>
          <w:jc w:val="center"/>
        </w:trPr>
        <w:tc>
          <w:tcPr>
            <w:tcW w:w="708" w:type="dxa"/>
            <w:noWrap/>
            <w:vAlign w:val="center"/>
          </w:tcPr>
          <w:p>
            <w:pPr>
              <w:adjustRightInd w:val="0"/>
              <w:snapToGrid w:val="0"/>
              <w:jc w:val="center"/>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3</w:t>
            </w:r>
          </w:p>
        </w:tc>
        <w:tc>
          <w:tcPr>
            <w:tcW w:w="1417" w:type="dxa"/>
            <w:noWrap/>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运输业务设计与运营模块</w:t>
            </w:r>
          </w:p>
        </w:tc>
        <w:tc>
          <w:tcPr>
            <w:tcW w:w="1418" w:type="dxa"/>
            <w:noWrap/>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客户开发</w:t>
            </w:r>
          </w:p>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业务分析</w:t>
            </w:r>
          </w:p>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PPT制作</w:t>
            </w:r>
          </w:p>
        </w:tc>
        <w:tc>
          <w:tcPr>
            <w:tcW w:w="5244" w:type="dxa"/>
            <w:noWrap/>
            <w:vAlign w:val="center"/>
          </w:tcPr>
          <w:p>
            <w:pPr>
              <w:numPr>
                <w:ilvl w:val="255"/>
                <w:numId w:val="0"/>
              </w:num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asciiTheme="minorEastAsia" w:hAnsiTheme="minorEastAsia" w:eastAsiaTheme="minorEastAsia"/>
                <w:bCs/>
                <w:snapToGrid w:val="0"/>
                <w:color w:val="000000" w:themeColor="text1"/>
                <w:kern w:val="0"/>
                <w:sz w:val="18"/>
                <w:szCs w:val="18"/>
                <w14:textFill>
                  <w14:solidFill>
                    <w14:schemeClr w14:val="tx1"/>
                  </w14:solidFill>
                </w14:textFill>
              </w:rPr>
              <w:t>客户开发</w:t>
            </w: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：分析客户需求，与企业的业务优势和资源进行匹配，编制物流运营服务方案</w:t>
            </w:r>
          </w:p>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业务分析：根据给出的企业运营及经营数据，使用数据分析工具（分析工具不做限制），对企业的业务数据进行分析，包括但不限于订单准时率、订单延迟原因、车辆满载率、成本、利润、利润率等。</w:t>
            </w:r>
          </w:p>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PPT制作：根据运输业务设计与运营模块中客户开发部分编制PPT。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3" w:hRule="atLeast"/>
          <w:jc w:val="center"/>
        </w:trPr>
        <w:tc>
          <w:tcPr>
            <w:tcW w:w="708" w:type="dxa"/>
            <w:noWrap/>
            <w:vAlign w:val="center"/>
          </w:tcPr>
          <w:p>
            <w:pPr>
              <w:adjustRightInd w:val="0"/>
              <w:snapToGrid w:val="0"/>
              <w:jc w:val="center"/>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4</w:t>
            </w:r>
          </w:p>
        </w:tc>
        <w:tc>
          <w:tcPr>
            <w:tcW w:w="1417" w:type="dxa"/>
            <w:noWrap/>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PPT汇报模块</w:t>
            </w:r>
          </w:p>
        </w:tc>
        <w:tc>
          <w:tcPr>
            <w:tcW w:w="1418" w:type="dxa"/>
            <w:noWrap/>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PPT汇报</w:t>
            </w:r>
          </w:p>
        </w:tc>
        <w:tc>
          <w:tcPr>
            <w:tcW w:w="5244" w:type="dxa"/>
            <w:noWrap/>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根据运输业务设计与运营模块中客户开发任务编制的PPT，进行工作汇报。</w:t>
            </w:r>
          </w:p>
        </w:tc>
      </w:tr>
    </w:tbl>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四</w:t>
      </w:r>
      <w:r>
        <w:rPr>
          <w:rFonts w:asciiTheme="minorEastAsia" w:hAnsiTheme="minorEastAsia" w:eastAsiaTheme="minorEastAsia"/>
          <w:b/>
          <w:snapToGrid w:val="0"/>
          <w:color w:val="000000" w:themeColor="text1"/>
          <w:kern w:val="0"/>
          <w:szCs w:val="21"/>
          <w14:textFill>
            <w14:solidFill>
              <w14:schemeClr w14:val="tx1"/>
            </w14:solidFill>
          </w14:textFill>
        </w:rPr>
        <w:t>、</w:t>
      </w:r>
      <w:r>
        <w:rPr>
          <w:rFonts w:hint="eastAsia" w:asciiTheme="minorEastAsia" w:hAnsiTheme="minorEastAsia" w:eastAsiaTheme="minorEastAsia"/>
          <w:b/>
          <w:snapToGrid w:val="0"/>
          <w:color w:val="000000" w:themeColor="text1"/>
          <w:kern w:val="0"/>
          <w:szCs w:val="21"/>
          <w14:textFill>
            <w14:solidFill>
              <w14:schemeClr w14:val="tx1"/>
            </w14:solidFill>
          </w14:textFill>
        </w:rPr>
        <w:t>竞赛</w:t>
      </w:r>
      <w:r>
        <w:rPr>
          <w:rFonts w:asciiTheme="minorEastAsia" w:hAnsiTheme="minorEastAsia" w:eastAsiaTheme="minorEastAsia"/>
          <w:b/>
          <w:snapToGrid w:val="0"/>
          <w:color w:val="000000" w:themeColor="text1"/>
          <w:kern w:val="0"/>
          <w:szCs w:val="21"/>
          <w14:textFill>
            <w14:solidFill>
              <w14:schemeClr w14:val="tx1"/>
            </w14:solidFill>
          </w14:textFill>
        </w:rPr>
        <w:t>流程</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w:t>
      </w:r>
      <w:r>
        <w:rPr>
          <w:rFonts w:asciiTheme="minorEastAsia" w:hAnsiTheme="minorEastAsia" w:eastAsiaTheme="minorEastAsia"/>
          <w:b/>
          <w:snapToGrid w:val="0"/>
          <w:color w:val="000000" w:themeColor="text1"/>
          <w:kern w:val="0"/>
          <w:szCs w:val="21"/>
          <w14:textFill>
            <w14:solidFill>
              <w14:schemeClr w14:val="tx1"/>
            </w14:solidFill>
          </w14:textFill>
        </w:rPr>
        <w:t>一）</w:t>
      </w:r>
      <w:r>
        <w:rPr>
          <w:rFonts w:hint="eastAsia" w:asciiTheme="minorEastAsia" w:hAnsiTheme="minorEastAsia" w:eastAsiaTheme="minorEastAsia"/>
          <w:b/>
          <w:snapToGrid w:val="0"/>
          <w:color w:val="000000" w:themeColor="text1"/>
          <w:kern w:val="0"/>
          <w:szCs w:val="21"/>
          <w14:textFill>
            <w14:solidFill>
              <w14:schemeClr w14:val="tx1"/>
            </w14:solidFill>
          </w14:textFill>
        </w:rPr>
        <w:t>竞赛</w:t>
      </w:r>
      <w:r>
        <w:rPr>
          <w:rFonts w:asciiTheme="minorEastAsia" w:hAnsiTheme="minorEastAsia" w:eastAsiaTheme="minorEastAsia"/>
          <w:b/>
          <w:snapToGrid w:val="0"/>
          <w:color w:val="000000" w:themeColor="text1"/>
          <w:kern w:val="0"/>
          <w:szCs w:val="21"/>
          <w14:textFill>
            <w14:solidFill>
              <w14:schemeClr w14:val="tx1"/>
            </w14:solidFill>
          </w14:textFill>
        </w:rPr>
        <w:t>时间安排</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赛事持续进行2天。竞赛日程</w:t>
      </w:r>
      <w:r>
        <w:rPr>
          <w:rFonts w:asciiTheme="minorEastAsia" w:hAnsiTheme="minorEastAsia" w:eastAsiaTheme="minorEastAsia"/>
          <w:snapToGrid w:val="0"/>
          <w:color w:val="000000" w:themeColor="text1"/>
          <w:kern w:val="0"/>
          <w:szCs w:val="21"/>
          <w14:textFill>
            <w14:solidFill>
              <w14:schemeClr w14:val="tx1"/>
            </w14:solidFill>
          </w14:textFill>
        </w:rPr>
        <w:t>安排如下表所示</w:t>
      </w:r>
      <w:r>
        <w:rPr>
          <w:rFonts w:hint="eastAsia" w:asciiTheme="minorEastAsia" w:hAnsiTheme="minorEastAsia" w:eastAsiaTheme="minorEastAsia"/>
          <w:snapToGrid w:val="0"/>
          <w:color w:val="000000" w:themeColor="text1"/>
          <w:kern w:val="0"/>
          <w:szCs w:val="21"/>
          <w14:textFill>
            <w14:solidFill>
              <w14:schemeClr w14:val="tx1"/>
            </w14:solidFill>
          </w14:textFill>
        </w:rPr>
        <w:t>。</w:t>
      </w:r>
    </w:p>
    <w:tbl>
      <w:tblPr>
        <w:tblStyle w:val="5"/>
        <w:tblW w:w="49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1418"/>
        <w:gridCol w:w="2691"/>
        <w:gridCol w:w="2415"/>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658" w:type="pct"/>
            <w:shd w:val="clear" w:color="000000" w:fill="auto"/>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日期</w:t>
            </w:r>
          </w:p>
        </w:tc>
        <w:tc>
          <w:tcPr>
            <w:tcW w:w="790" w:type="pct"/>
            <w:shd w:val="clear" w:color="000000" w:fill="auto"/>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时间</w:t>
            </w:r>
          </w:p>
        </w:tc>
        <w:tc>
          <w:tcPr>
            <w:tcW w:w="1499" w:type="pct"/>
            <w:shd w:val="clear" w:color="000000" w:fill="auto"/>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内容</w:t>
            </w:r>
          </w:p>
        </w:tc>
        <w:tc>
          <w:tcPr>
            <w:tcW w:w="1344" w:type="pct"/>
            <w:shd w:val="clear" w:color="000000" w:fill="auto"/>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说明</w:t>
            </w:r>
          </w:p>
        </w:tc>
        <w:tc>
          <w:tcPr>
            <w:tcW w:w="708" w:type="pct"/>
            <w:shd w:val="clear" w:color="000000" w:fill="auto"/>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658" w:type="pct"/>
            <w:vMerge w:val="restar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highlight w:val="none"/>
                <w14:textFill>
                  <w14:solidFill>
                    <w14:schemeClr w14:val="tx1"/>
                  </w14:solidFill>
                </w14:textFill>
              </w:rPr>
            </w:pPr>
            <w:bookmarkStart w:id="17" w:name="_GoBack" w:colFirst="0" w:colLast="1"/>
            <w:r>
              <w:rPr>
                <w:rFonts w:hint="eastAsia" w:asciiTheme="minorEastAsia" w:hAnsiTheme="minorEastAsia" w:eastAsiaTheme="minorEastAsia"/>
                <w:snapToGrid w:val="0"/>
                <w:color w:val="000000" w:themeColor="text1"/>
                <w:kern w:val="0"/>
                <w:sz w:val="18"/>
                <w:szCs w:val="18"/>
                <w:highlight w:val="none"/>
                <w14:textFill>
                  <w14:solidFill>
                    <w14:schemeClr w14:val="tx1"/>
                  </w14:solidFill>
                </w14:textFill>
              </w:rPr>
              <w:t>4月13日</w:t>
            </w:r>
          </w:p>
        </w:tc>
        <w:tc>
          <w:tcPr>
            <w:tcW w:w="790"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highlight w:val="none"/>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highlight w:val="none"/>
                <w14:textFill>
                  <w14:solidFill>
                    <w14:schemeClr w14:val="tx1"/>
                  </w14:solidFill>
                </w14:textFill>
              </w:rPr>
              <w:t>10</w:t>
            </w:r>
            <w:r>
              <w:rPr>
                <w:rFonts w:asciiTheme="minorEastAsia" w:hAnsiTheme="minorEastAsia" w:eastAsiaTheme="minorEastAsia"/>
                <w:snapToGrid w:val="0"/>
                <w:color w:val="000000" w:themeColor="text1"/>
                <w:kern w:val="0"/>
                <w:sz w:val="18"/>
                <w:szCs w:val="18"/>
                <w:highlight w:val="none"/>
                <w14:textFill>
                  <w14:solidFill>
                    <w14:schemeClr w14:val="tx1"/>
                  </w14:solidFill>
                </w14:textFill>
              </w:rPr>
              <w:t>:</w:t>
            </w:r>
            <w:r>
              <w:rPr>
                <w:rFonts w:hint="eastAsia" w:asciiTheme="minorEastAsia" w:hAnsiTheme="minorEastAsia" w:eastAsiaTheme="minorEastAsia"/>
                <w:snapToGrid w:val="0"/>
                <w:color w:val="000000" w:themeColor="text1"/>
                <w:kern w:val="0"/>
                <w:sz w:val="18"/>
                <w:szCs w:val="18"/>
                <w:highlight w:val="none"/>
                <w14:textFill>
                  <w14:solidFill>
                    <w14:schemeClr w14:val="tx1"/>
                  </w14:solidFill>
                </w14:textFill>
              </w:rPr>
              <w:t>0</w:t>
            </w:r>
            <w:r>
              <w:rPr>
                <w:rFonts w:asciiTheme="minorEastAsia" w:hAnsiTheme="minorEastAsia" w:eastAsiaTheme="minorEastAsia"/>
                <w:snapToGrid w:val="0"/>
                <w:color w:val="000000" w:themeColor="text1"/>
                <w:kern w:val="0"/>
                <w:sz w:val="18"/>
                <w:szCs w:val="18"/>
                <w:highlight w:val="none"/>
                <w14:textFill>
                  <w14:solidFill>
                    <w14:schemeClr w14:val="tx1"/>
                  </w14:solidFill>
                </w14:textFill>
              </w:rPr>
              <w:t>0-1</w:t>
            </w:r>
            <w:r>
              <w:rPr>
                <w:rFonts w:hint="eastAsia" w:asciiTheme="minorEastAsia" w:hAnsiTheme="minorEastAsia" w:eastAsiaTheme="minorEastAsia"/>
                <w:snapToGrid w:val="0"/>
                <w:color w:val="000000" w:themeColor="text1"/>
                <w:kern w:val="0"/>
                <w:sz w:val="18"/>
                <w:szCs w:val="18"/>
                <w:highlight w:val="none"/>
                <w14:textFill>
                  <w14:solidFill>
                    <w14:schemeClr w14:val="tx1"/>
                  </w14:solidFill>
                </w14:textFill>
              </w:rPr>
              <w:t>0</w:t>
            </w:r>
            <w:r>
              <w:rPr>
                <w:rFonts w:asciiTheme="minorEastAsia" w:hAnsiTheme="minorEastAsia" w:eastAsiaTheme="minorEastAsia"/>
                <w:snapToGrid w:val="0"/>
                <w:color w:val="000000" w:themeColor="text1"/>
                <w:kern w:val="0"/>
                <w:sz w:val="18"/>
                <w:szCs w:val="18"/>
                <w:highlight w:val="none"/>
                <w14:textFill>
                  <w14:solidFill>
                    <w14:schemeClr w14:val="tx1"/>
                  </w14:solidFill>
                </w14:textFill>
              </w:rPr>
              <w:t>:</w:t>
            </w:r>
            <w:r>
              <w:rPr>
                <w:rFonts w:hint="eastAsia" w:asciiTheme="minorEastAsia" w:hAnsiTheme="minorEastAsia" w:eastAsiaTheme="minorEastAsia"/>
                <w:snapToGrid w:val="0"/>
                <w:color w:val="000000" w:themeColor="text1"/>
                <w:kern w:val="0"/>
                <w:sz w:val="18"/>
                <w:szCs w:val="18"/>
                <w:highlight w:val="none"/>
                <w14:textFill>
                  <w14:solidFill>
                    <w14:schemeClr w14:val="tx1"/>
                  </w14:solidFill>
                </w14:textFill>
              </w:rPr>
              <w:t>3</w:t>
            </w:r>
            <w:r>
              <w:rPr>
                <w:rFonts w:asciiTheme="minorEastAsia" w:hAnsiTheme="minorEastAsia" w:eastAsiaTheme="minorEastAsia"/>
                <w:snapToGrid w:val="0"/>
                <w:color w:val="000000" w:themeColor="text1"/>
                <w:kern w:val="0"/>
                <w:sz w:val="18"/>
                <w:szCs w:val="18"/>
                <w:highlight w:val="none"/>
                <w14:textFill>
                  <w14:solidFill>
                    <w14:schemeClr w14:val="tx1"/>
                  </w14:solidFill>
                </w14:textFill>
              </w:rPr>
              <w:t>0</w:t>
            </w:r>
          </w:p>
        </w:tc>
        <w:tc>
          <w:tcPr>
            <w:tcW w:w="1499"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比赛预备会议，竞赛说明、抽签</w:t>
            </w:r>
          </w:p>
        </w:tc>
        <w:tc>
          <w:tcPr>
            <w:tcW w:w="1344"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领队、教练会议、裁判会议</w:t>
            </w:r>
          </w:p>
        </w:tc>
        <w:tc>
          <w:tcPr>
            <w:tcW w:w="708" w:type="pct"/>
            <w:vMerge w:val="restar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658" w:type="pct"/>
            <w:vMerge w:val="continue"/>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tc>
        <w:tc>
          <w:tcPr>
            <w:tcW w:w="790"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11:00-12:00</w:t>
            </w:r>
          </w:p>
        </w:tc>
        <w:tc>
          <w:tcPr>
            <w:tcW w:w="1499"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理论考核</w:t>
            </w:r>
          </w:p>
        </w:tc>
        <w:tc>
          <w:tcPr>
            <w:tcW w:w="1344"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参赛选手</w:t>
            </w:r>
          </w:p>
        </w:tc>
        <w:tc>
          <w:tcPr>
            <w:tcW w:w="708" w:type="pct"/>
            <w:vMerge w:val="continue"/>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658" w:type="pct"/>
            <w:vMerge w:val="continue"/>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tc>
        <w:tc>
          <w:tcPr>
            <w:tcW w:w="790"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14:00-16:00</w:t>
            </w:r>
          </w:p>
        </w:tc>
        <w:tc>
          <w:tcPr>
            <w:tcW w:w="1499"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货运代理模块</w:t>
            </w:r>
          </w:p>
        </w:tc>
        <w:tc>
          <w:tcPr>
            <w:tcW w:w="1344"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参赛选手</w:t>
            </w:r>
          </w:p>
        </w:tc>
        <w:tc>
          <w:tcPr>
            <w:tcW w:w="708"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658" w:type="pct"/>
            <w:vMerge w:val="restart"/>
            <w:shd w:val="clear" w:color="000000" w:fill="auto"/>
            <w:vAlign w:val="center"/>
          </w:tcPr>
          <w:p>
            <w:pPr>
              <w:adjustRightInd w:val="0"/>
              <w:snapToGrid w:val="0"/>
              <w:jc w:val="center"/>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4月14日</w:t>
            </w:r>
          </w:p>
        </w:tc>
        <w:tc>
          <w:tcPr>
            <w:tcW w:w="790"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8:00-12:00</w:t>
            </w:r>
          </w:p>
        </w:tc>
        <w:tc>
          <w:tcPr>
            <w:tcW w:w="1499" w:type="pct"/>
            <w:shd w:val="clear" w:color="000000" w:fill="auto"/>
            <w:vAlign w:val="center"/>
          </w:tcPr>
          <w:p>
            <w:pPr>
              <w:pStyle w:val="2"/>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运输业务设计与运营模块</w:t>
            </w:r>
          </w:p>
        </w:tc>
        <w:tc>
          <w:tcPr>
            <w:tcW w:w="1344"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参赛选手</w:t>
            </w:r>
          </w:p>
        </w:tc>
        <w:tc>
          <w:tcPr>
            <w:tcW w:w="708"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658" w:type="pct"/>
            <w:vMerge w:val="continue"/>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tc>
        <w:tc>
          <w:tcPr>
            <w:tcW w:w="790"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14:00-16:00</w:t>
            </w:r>
          </w:p>
        </w:tc>
        <w:tc>
          <w:tcPr>
            <w:tcW w:w="1499"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PPT汇报模块</w:t>
            </w:r>
          </w:p>
        </w:tc>
        <w:tc>
          <w:tcPr>
            <w:tcW w:w="1344"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参赛选手</w:t>
            </w:r>
          </w:p>
        </w:tc>
        <w:tc>
          <w:tcPr>
            <w:tcW w:w="708"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658" w:type="pct"/>
            <w:vMerge w:val="continue"/>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tc>
        <w:tc>
          <w:tcPr>
            <w:tcW w:w="790"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16:00-17:00</w:t>
            </w:r>
          </w:p>
        </w:tc>
        <w:tc>
          <w:tcPr>
            <w:tcW w:w="1499"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比赛分数汇总</w:t>
            </w:r>
          </w:p>
        </w:tc>
        <w:tc>
          <w:tcPr>
            <w:tcW w:w="1344"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裁判</w:t>
            </w:r>
          </w:p>
        </w:tc>
        <w:tc>
          <w:tcPr>
            <w:tcW w:w="708"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4292" w:type="pct"/>
            <w:gridSpan w:val="4"/>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具体以赛前预备会议说明为准</w:t>
            </w:r>
          </w:p>
        </w:tc>
        <w:tc>
          <w:tcPr>
            <w:tcW w:w="708" w:type="pct"/>
            <w:shd w:val="clear" w:color="000000" w:fill="auto"/>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p>
        </w:tc>
      </w:tr>
    </w:tbl>
    <w:p>
      <w:pPr>
        <w:adjustRightInd w:val="0"/>
        <w:snapToGrid w:val="0"/>
        <w:spacing w:line="360" w:lineRule="auto"/>
        <w:ind w:firstLine="422" w:firstLineChars="200"/>
        <w:rPr>
          <w:rFonts w:asciiTheme="minorEastAsia" w:hAnsiTheme="minorEastAsia" w:eastAsiaTheme="minorEastAsia"/>
          <w:b/>
          <w:bCs/>
          <w:snapToGrid w:val="0"/>
          <w:color w:val="000000" w:themeColor="text1"/>
          <w:kern w:val="0"/>
          <w:szCs w:val="21"/>
          <w14:textFill>
            <w14:solidFill>
              <w14:schemeClr w14:val="tx1"/>
            </w14:solidFill>
          </w14:textFill>
        </w:rPr>
      </w:pPr>
      <w:r>
        <w:rPr>
          <w:rFonts w:asciiTheme="minorEastAsia" w:hAnsiTheme="minorEastAsia" w:eastAsiaTheme="minorEastAsia"/>
          <w:b/>
          <w:bCs/>
          <w:snapToGrid w:val="0"/>
          <w:color w:val="000000" w:themeColor="text1"/>
          <w:kern w:val="0"/>
          <w:szCs w:val="21"/>
          <w14:textFill>
            <w14:solidFill>
              <w14:schemeClr w14:val="tx1"/>
            </w14:solidFill>
          </w14:textFill>
        </w:rPr>
        <w:t>（</w:t>
      </w:r>
      <w:r>
        <w:rPr>
          <w:rFonts w:hint="eastAsia" w:asciiTheme="minorEastAsia" w:hAnsiTheme="minorEastAsia" w:eastAsiaTheme="minorEastAsia"/>
          <w:b/>
          <w:bCs/>
          <w:snapToGrid w:val="0"/>
          <w:color w:val="000000" w:themeColor="text1"/>
          <w:kern w:val="0"/>
          <w:szCs w:val="21"/>
          <w14:textFill>
            <w14:solidFill>
              <w14:schemeClr w14:val="tx1"/>
            </w14:solidFill>
          </w14:textFill>
        </w:rPr>
        <w:t>二</w:t>
      </w:r>
      <w:r>
        <w:rPr>
          <w:rFonts w:asciiTheme="minorEastAsia" w:hAnsiTheme="minorEastAsia" w:eastAsiaTheme="minorEastAsia"/>
          <w:b/>
          <w:bCs/>
          <w:snapToGrid w:val="0"/>
          <w:color w:val="000000" w:themeColor="text1"/>
          <w:kern w:val="0"/>
          <w:szCs w:val="21"/>
          <w14:textFill>
            <w14:solidFill>
              <w14:schemeClr w14:val="tx1"/>
            </w14:solidFill>
          </w14:textFill>
        </w:rPr>
        <w:t>）赛项时间安排</w:t>
      </w:r>
    </w:p>
    <w:tbl>
      <w:tblPr>
        <w:tblStyle w:val="5"/>
        <w:tblW w:w="495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78"/>
        <w:gridCol w:w="595"/>
        <w:gridCol w:w="2417"/>
        <w:gridCol w:w="1135"/>
        <w:gridCol w:w="42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322" w:type="pct"/>
            <w:noWrap/>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序号</w:t>
            </w:r>
          </w:p>
        </w:tc>
        <w:tc>
          <w:tcPr>
            <w:tcW w:w="332" w:type="pct"/>
            <w:noWrap/>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组别</w:t>
            </w:r>
          </w:p>
        </w:tc>
        <w:tc>
          <w:tcPr>
            <w:tcW w:w="1346" w:type="pct"/>
            <w:noWrap/>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项目</w:t>
            </w:r>
          </w:p>
        </w:tc>
        <w:tc>
          <w:tcPr>
            <w:tcW w:w="632" w:type="pct"/>
            <w:noWrap/>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时长</w:t>
            </w:r>
          </w:p>
        </w:tc>
        <w:tc>
          <w:tcPr>
            <w:tcW w:w="2368" w:type="pct"/>
            <w:noWrap/>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竞赛说明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322" w:type="pct"/>
            <w:noWrap/>
            <w:vAlign w:val="center"/>
          </w:tcPr>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1</w:t>
            </w:r>
          </w:p>
        </w:tc>
        <w:tc>
          <w:tcPr>
            <w:tcW w:w="332" w:type="pct"/>
            <w:vMerge w:val="restart"/>
            <w:noWrap/>
            <w:vAlign w:val="center"/>
          </w:tcPr>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高</w:t>
            </w:r>
          </w:p>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职</w:t>
            </w:r>
          </w:p>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学</w:t>
            </w:r>
          </w:p>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生</w:t>
            </w:r>
          </w:p>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组</w:t>
            </w:r>
          </w:p>
        </w:tc>
        <w:tc>
          <w:tcPr>
            <w:tcW w:w="1346" w:type="pct"/>
            <w:noWrap/>
            <w:vAlign w:val="center"/>
          </w:tcPr>
          <w:p>
            <w:p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理论考核模块</w:t>
            </w:r>
          </w:p>
        </w:tc>
        <w:tc>
          <w:tcPr>
            <w:tcW w:w="632" w:type="pct"/>
            <w:noWrap/>
            <w:vAlign w:val="center"/>
          </w:tcPr>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60分钟</w:t>
            </w:r>
          </w:p>
        </w:tc>
        <w:tc>
          <w:tcPr>
            <w:tcW w:w="2368" w:type="pct"/>
            <w:vMerge w:val="restart"/>
            <w:noWrap/>
            <w:vAlign w:val="center"/>
          </w:tcPr>
          <w:p>
            <w:p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个人同时进行，上机操作。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322" w:type="pct"/>
            <w:noWrap/>
            <w:vAlign w:val="center"/>
          </w:tcPr>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2</w:t>
            </w:r>
          </w:p>
        </w:tc>
        <w:tc>
          <w:tcPr>
            <w:tcW w:w="332" w:type="pct"/>
            <w:vMerge w:val="continue"/>
            <w:noWrap/>
            <w:vAlign w:val="center"/>
          </w:tcPr>
          <w:p>
            <w:p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p>
        </w:tc>
        <w:tc>
          <w:tcPr>
            <w:tcW w:w="1346" w:type="pct"/>
            <w:noWrap/>
            <w:vAlign w:val="center"/>
          </w:tcPr>
          <w:p>
            <w:p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货运代理模块</w:t>
            </w:r>
          </w:p>
        </w:tc>
        <w:tc>
          <w:tcPr>
            <w:tcW w:w="632" w:type="pct"/>
            <w:noWrap/>
            <w:vAlign w:val="center"/>
          </w:tcPr>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120分钟</w:t>
            </w:r>
          </w:p>
        </w:tc>
        <w:tc>
          <w:tcPr>
            <w:tcW w:w="2368" w:type="pct"/>
            <w:vMerge w:val="continue"/>
            <w:noWrap/>
            <w:vAlign w:val="center"/>
          </w:tcPr>
          <w:p>
            <w:p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322" w:type="pct"/>
            <w:noWrap/>
            <w:vAlign w:val="center"/>
          </w:tcPr>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3</w:t>
            </w:r>
          </w:p>
        </w:tc>
        <w:tc>
          <w:tcPr>
            <w:tcW w:w="332" w:type="pct"/>
            <w:vMerge w:val="continue"/>
            <w:noWrap/>
            <w:vAlign w:val="center"/>
          </w:tcPr>
          <w:p>
            <w:p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p>
        </w:tc>
        <w:tc>
          <w:tcPr>
            <w:tcW w:w="1346" w:type="pct"/>
            <w:noWrap/>
            <w:vAlign w:val="center"/>
          </w:tcPr>
          <w:p>
            <w:p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运输业务设计与运营模块</w:t>
            </w:r>
          </w:p>
        </w:tc>
        <w:tc>
          <w:tcPr>
            <w:tcW w:w="632" w:type="pct"/>
            <w:noWrap/>
            <w:vAlign w:val="center"/>
          </w:tcPr>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240分钟</w:t>
            </w:r>
          </w:p>
        </w:tc>
        <w:tc>
          <w:tcPr>
            <w:tcW w:w="2368" w:type="pct"/>
            <w:vMerge w:val="continue"/>
            <w:noWrap/>
            <w:vAlign w:val="center"/>
          </w:tcPr>
          <w:p>
            <w:p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322" w:type="pct"/>
            <w:noWrap/>
            <w:vAlign w:val="center"/>
          </w:tcPr>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4</w:t>
            </w:r>
          </w:p>
        </w:tc>
        <w:tc>
          <w:tcPr>
            <w:tcW w:w="332" w:type="pct"/>
            <w:vMerge w:val="continue"/>
            <w:noWrap/>
            <w:vAlign w:val="center"/>
          </w:tcPr>
          <w:p>
            <w:p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p>
        </w:tc>
        <w:tc>
          <w:tcPr>
            <w:tcW w:w="1346" w:type="pct"/>
            <w:noWrap/>
            <w:vAlign w:val="center"/>
          </w:tcPr>
          <w:p>
            <w:p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PPT汇报。</w:t>
            </w:r>
          </w:p>
        </w:tc>
        <w:tc>
          <w:tcPr>
            <w:tcW w:w="632" w:type="pct"/>
            <w:noWrap/>
            <w:vAlign w:val="center"/>
          </w:tcPr>
          <w:p>
            <w:pPr>
              <w:adjustRightInd w:val="0"/>
              <w:snapToGrid w:val="0"/>
              <w:jc w:val="center"/>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5分钟</w:t>
            </w:r>
          </w:p>
        </w:tc>
        <w:tc>
          <w:tcPr>
            <w:tcW w:w="2368" w:type="pct"/>
            <w:noWrap/>
            <w:vAlign w:val="center"/>
          </w:tcPr>
          <w:p>
            <w:pPr>
              <w:adjustRightInd w:val="0"/>
              <w:snapToGrid w:val="0"/>
              <w:rPr>
                <w:rFonts w:asciiTheme="minorEastAsia" w:hAnsiTheme="minorEastAsia" w:eastAsiaTheme="minorEastAsia"/>
                <w:bCs/>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Cs/>
                <w:snapToGrid w:val="0"/>
                <w:color w:val="000000" w:themeColor="text1"/>
                <w:kern w:val="0"/>
                <w:sz w:val="18"/>
                <w:szCs w:val="18"/>
                <w14:textFill>
                  <w14:solidFill>
                    <w14:schemeClr w14:val="tx1"/>
                  </w14:solidFill>
                </w14:textFill>
              </w:rPr>
              <w:t>个人按照顺序依次进行。</w:t>
            </w:r>
          </w:p>
        </w:tc>
      </w:tr>
    </w:tbl>
    <w:p>
      <w:pPr>
        <w:adjustRightInd w:val="0"/>
        <w:snapToGrid w:val="0"/>
        <w:spacing w:before="156" w:beforeLines="50" w:line="360" w:lineRule="auto"/>
        <w:ind w:firstLine="422"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五</w:t>
      </w:r>
      <w:r>
        <w:rPr>
          <w:rFonts w:asciiTheme="minorEastAsia" w:hAnsiTheme="minorEastAsia" w:eastAsiaTheme="minorEastAsia"/>
          <w:b/>
          <w:snapToGrid w:val="0"/>
          <w:color w:val="000000" w:themeColor="text1"/>
          <w:kern w:val="0"/>
          <w:szCs w:val="21"/>
          <w14:textFill>
            <w14:solidFill>
              <w14:schemeClr w14:val="tx1"/>
            </w14:solidFill>
          </w14:textFill>
        </w:rPr>
        <w:t>、竞赛</w:t>
      </w:r>
      <w:r>
        <w:rPr>
          <w:rFonts w:hint="eastAsia" w:asciiTheme="minorEastAsia" w:hAnsiTheme="minorEastAsia" w:eastAsiaTheme="minorEastAsia"/>
          <w:b/>
          <w:snapToGrid w:val="0"/>
          <w:color w:val="000000" w:themeColor="text1"/>
          <w:kern w:val="0"/>
          <w:szCs w:val="21"/>
          <w14:textFill>
            <w14:solidFill>
              <w14:schemeClr w14:val="tx1"/>
            </w14:solidFill>
          </w14:textFill>
        </w:rPr>
        <w:t>项目指标体系</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bookmarkStart w:id="8" w:name="_Toc288059830"/>
      <w:bookmarkStart w:id="9" w:name="_Toc288058400"/>
      <w:bookmarkStart w:id="10" w:name="_Toc288050358"/>
      <w:bookmarkStart w:id="11" w:name="_Toc288059832"/>
      <w:bookmarkStart w:id="12" w:name="_Toc288058402"/>
      <w:bookmarkStart w:id="13" w:name="_Toc288050360"/>
      <w:r>
        <w:rPr>
          <w:rFonts w:hint="eastAsia" w:asciiTheme="minorEastAsia" w:hAnsiTheme="minorEastAsia" w:eastAsiaTheme="minorEastAsia"/>
          <w:snapToGrid w:val="0"/>
          <w:color w:val="000000" w:themeColor="text1"/>
          <w:kern w:val="0"/>
          <w:szCs w:val="21"/>
          <w14:textFill>
            <w14:solidFill>
              <w14:schemeClr w14:val="tx1"/>
            </w14:solidFill>
          </w14:textFill>
        </w:rPr>
        <w:t>（一）评分方法</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asciiTheme="minorEastAsia" w:hAnsiTheme="minorEastAsia" w:eastAsiaTheme="minorEastAsia"/>
          <w:snapToGrid w:val="0"/>
          <w:color w:val="000000" w:themeColor="text1"/>
          <w:kern w:val="0"/>
          <w:szCs w:val="21"/>
          <w14:textFill>
            <w14:solidFill>
              <w14:schemeClr w14:val="tx1"/>
            </w14:solidFill>
          </w14:textFill>
        </w:rPr>
        <w:t>1.</w:t>
      </w:r>
      <w:r>
        <w:rPr>
          <w:rFonts w:hint="eastAsia" w:asciiTheme="minorEastAsia" w:hAnsiTheme="minorEastAsia" w:eastAsiaTheme="minorEastAsia"/>
          <w:snapToGrid w:val="0"/>
          <w:color w:val="000000" w:themeColor="text1"/>
          <w:kern w:val="0"/>
          <w:szCs w:val="21"/>
          <w14:textFill>
            <w14:solidFill>
              <w14:schemeClr w14:val="tx1"/>
            </w14:solidFill>
          </w14:textFill>
        </w:rPr>
        <w:t>理论考核模块为系统考核满分为100分（占总比15%），选手答题完毕系统自动判分。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asciiTheme="minorEastAsia" w:hAnsiTheme="minorEastAsia" w:eastAsiaTheme="minorEastAsia"/>
          <w:snapToGrid w:val="0"/>
          <w:color w:val="000000" w:themeColor="text1"/>
          <w:kern w:val="0"/>
          <w:szCs w:val="21"/>
          <w14:textFill>
            <w14:solidFill>
              <w14:schemeClr w14:val="tx1"/>
            </w14:solidFill>
          </w14:textFill>
        </w:rPr>
        <w:t>2.</w:t>
      </w:r>
      <w:r>
        <w:rPr>
          <w:rFonts w:hint="eastAsia" w:asciiTheme="minorEastAsia" w:hAnsiTheme="minorEastAsia" w:eastAsiaTheme="minorEastAsia"/>
          <w:snapToGrid w:val="0"/>
          <w:color w:val="000000" w:themeColor="text1"/>
          <w:kern w:val="0"/>
          <w:szCs w:val="21"/>
          <w14:textFill>
            <w14:solidFill>
              <w14:schemeClr w14:val="tx1"/>
            </w14:solidFill>
          </w14:textFill>
        </w:rPr>
        <w:t>货运代理模块满分为</w:t>
      </w:r>
      <w:r>
        <w:rPr>
          <w:rFonts w:asciiTheme="minorEastAsia" w:hAnsiTheme="minorEastAsia" w:eastAsiaTheme="minorEastAsia"/>
          <w:snapToGrid w:val="0"/>
          <w:color w:val="000000" w:themeColor="text1"/>
          <w:kern w:val="0"/>
          <w:szCs w:val="21"/>
          <w14:textFill>
            <w14:solidFill>
              <w14:schemeClr w14:val="tx1"/>
            </w14:solidFill>
          </w14:textFill>
        </w:rPr>
        <w:t>100</w:t>
      </w:r>
      <w:r>
        <w:rPr>
          <w:rFonts w:hint="eastAsia" w:asciiTheme="minorEastAsia" w:hAnsiTheme="minorEastAsia" w:eastAsiaTheme="minorEastAsia"/>
          <w:snapToGrid w:val="0"/>
          <w:color w:val="000000" w:themeColor="text1"/>
          <w:kern w:val="0"/>
          <w:szCs w:val="21"/>
          <w14:textFill>
            <w14:solidFill>
              <w14:schemeClr w14:val="tx1"/>
            </w14:solidFill>
          </w14:textFill>
        </w:rPr>
        <w:t>分（占总分30</w:t>
      </w:r>
      <w:r>
        <w:rPr>
          <w:rFonts w:asciiTheme="minorEastAsia" w:hAnsiTheme="minorEastAsia" w:eastAsiaTheme="minorEastAsia"/>
          <w:snapToGrid w:val="0"/>
          <w:color w:val="000000" w:themeColor="text1"/>
          <w:kern w:val="0"/>
          <w:szCs w:val="21"/>
          <w14:textFill>
            <w14:solidFill>
              <w14:schemeClr w14:val="tx1"/>
            </w14:solidFill>
          </w14:textFill>
        </w:rPr>
        <w:t>%</w:t>
      </w:r>
      <w:r>
        <w:rPr>
          <w:rFonts w:hint="eastAsia" w:asciiTheme="minorEastAsia" w:hAnsiTheme="minorEastAsia" w:eastAsiaTheme="minorEastAsia"/>
          <w:snapToGrid w:val="0"/>
          <w:color w:val="000000" w:themeColor="text1"/>
          <w:kern w:val="0"/>
          <w:szCs w:val="21"/>
          <w14:textFill>
            <w14:solidFill>
              <w14:schemeClr w14:val="tx1"/>
            </w14:solidFill>
          </w14:textFill>
        </w:rPr>
        <w:t>）</w:t>
      </w:r>
      <w:r>
        <w:rPr>
          <w:rFonts w:asciiTheme="minorEastAsia" w:hAnsiTheme="minorEastAsia" w:eastAsiaTheme="minorEastAsia"/>
          <w:snapToGrid w:val="0"/>
          <w:color w:val="000000" w:themeColor="text1"/>
          <w:kern w:val="0"/>
          <w:szCs w:val="21"/>
          <w14:textFill>
            <w14:solidFill>
              <w14:schemeClr w14:val="tx1"/>
            </w14:solidFill>
          </w14:textFill>
        </w:rPr>
        <w:t xml:space="preserve">, </w:t>
      </w:r>
      <w:r>
        <w:rPr>
          <w:rFonts w:hint="eastAsia" w:asciiTheme="minorEastAsia" w:hAnsiTheme="minorEastAsia" w:eastAsiaTheme="minorEastAsia"/>
          <w:snapToGrid w:val="0"/>
          <w:color w:val="000000" w:themeColor="text1"/>
          <w:kern w:val="0"/>
          <w:szCs w:val="21"/>
          <w14:textFill>
            <w14:solidFill>
              <w14:schemeClr w14:val="tx1"/>
            </w14:solidFill>
          </w14:textFill>
        </w:rPr>
        <w:t>选手答题完毕，裁判判分。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asciiTheme="minorEastAsia" w:hAnsiTheme="minorEastAsia" w:eastAsiaTheme="minorEastAsia"/>
          <w:snapToGrid w:val="0"/>
          <w:color w:val="000000" w:themeColor="text1"/>
          <w:kern w:val="0"/>
          <w:szCs w:val="21"/>
          <w14:textFill>
            <w14:solidFill>
              <w14:schemeClr w14:val="tx1"/>
            </w14:solidFill>
          </w14:textFill>
        </w:rPr>
        <w:t>3.</w:t>
      </w:r>
      <w:r>
        <w:rPr>
          <w:rFonts w:hint="eastAsia" w:asciiTheme="minorEastAsia" w:hAnsiTheme="minorEastAsia" w:eastAsiaTheme="minorEastAsia"/>
          <w:snapToGrid w:val="0"/>
          <w:color w:val="000000" w:themeColor="text1"/>
          <w:kern w:val="0"/>
          <w:szCs w:val="21"/>
          <w14:textFill>
            <w14:solidFill>
              <w14:schemeClr w14:val="tx1"/>
            </w14:solidFill>
          </w14:textFill>
        </w:rPr>
        <w:t>运输业务设计与运营模块满分为</w:t>
      </w:r>
      <w:r>
        <w:rPr>
          <w:rFonts w:asciiTheme="minorEastAsia" w:hAnsiTheme="minorEastAsia" w:eastAsiaTheme="minorEastAsia"/>
          <w:snapToGrid w:val="0"/>
          <w:color w:val="000000" w:themeColor="text1"/>
          <w:kern w:val="0"/>
          <w:szCs w:val="21"/>
          <w14:textFill>
            <w14:solidFill>
              <w14:schemeClr w14:val="tx1"/>
            </w14:solidFill>
          </w14:textFill>
        </w:rPr>
        <w:t>100</w:t>
      </w:r>
      <w:r>
        <w:rPr>
          <w:rFonts w:hint="eastAsia" w:asciiTheme="minorEastAsia" w:hAnsiTheme="minorEastAsia" w:eastAsiaTheme="minorEastAsia"/>
          <w:snapToGrid w:val="0"/>
          <w:color w:val="000000" w:themeColor="text1"/>
          <w:kern w:val="0"/>
          <w:szCs w:val="21"/>
          <w14:textFill>
            <w14:solidFill>
              <w14:schemeClr w14:val="tx1"/>
            </w14:solidFill>
          </w14:textFill>
        </w:rPr>
        <w:t>分（占总分40</w:t>
      </w:r>
      <w:r>
        <w:rPr>
          <w:rFonts w:asciiTheme="minorEastAsia" w:hAnsiTheme="minorEastAsia" w:eastAsiaTheme="minorEastAsia"/>
          <w:snapToGrid w:val="0"/>
          <w:color w:val="000000" w:themeColor="text1"/>
          <w:kern w:val="0"/>
          <w:szCs w:val="21"/>
          <w14:textFill>
            <w14:solidFill>
              <w14:schemeClr w14:val="tx1"/>
            </w14:solidFill>
          </w14:textFill>
        </w:rPr>
        <w:t>%</w:t>
      </w:r>
      <w:r>
        <w:rPr>
          <w:rFonts w:hint="eastAsia" w:asciiTheme="minorEastAsia" w:hAnsiTheme="minorEastAsia" w:eastAsiaTheme="minorEastAsia"/>
          <w:snapToGrid w:val="0"/>
          <w:color w:val="000000" w:themeColor="text1"/>
          <w:kern w:val="0"/>
          <w:szCs w:val="21"/>
          <w14:textFill>
            <w14:solidFill>
              <w14:schemeClr w14:val="tx1"/>
            </w14:solidFill>
          </w14:textFill>
        </w:rPr>
        <w:t>），选手答题完毕，裁判判分。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asciiTheme="minorEastAsia" w:hAnsiTheme="minorEastAsia" w:eastAsiaTheme="minorEastAsia"/>
          <w:snapToGrid w:val="0"/>
          <w:color w:val="000000" w:themeColor="text1"/>
          <w:kern w:val="0"/>
          <w:szCs w:val="21"/>
          <w14:textFill>
            <w14:solidFill>
              <w14:schemeClr w14:val="tx1"/>
            </w14:solidFill>
          </w14:textFill>
        </w:rPr>
        <w:t>4.</w:t>
      </w:r>
      <w:r>
        <w:rPr>
          <w:rFonts w:hint="eastAsia" w:asciiTheme="minorEastAsia" w:hAnsiTheme="minorEastAsia" w:eastAsiaTheme="minorEastAsia"/>
          <w:snapToGrid w:val="0"/>
          <w:color w:val="000000" w:themeColor="text1"/>
          <w:kern w:val="0"/>
          <w:szCs w:val="21"/>
          <w14:textFill>
            <w14:solidFill>
              <w14:schemeClr w14:val="tx1"/>
            </w14:solidFill>
          </w14:textFill>
        </w:rPr>
        <w:t xml:space="preserve"> PPT汇报模块满分</w:t>
      </w:r>
      <w:r>
        <w:rPr>
          <w:rFonts w:asciiTheme="minorEastAsia" w:hAnsiTheme="minorEastAsia" w:eastAsiaTheme="minorEastAsia"/>
          <w:snapToGrid w:val="0"/>
          <w:color w:val="000000" w:themeColor="text1"/>
          <w:kern w:val="0"/>
          <w:szCs w:val="21"/>
          <w14:textFill>
            <w14:solidFill>
              <w14:schemeClr w14:val="tx1"/>
            </w14:solidFill>
          </w14:textFill>
        </w:rPr>
        <w:t>100</w:t>
      </w:r>
      <w:r>
        <w:rPr>
          <w:rFonts w:hint="eastAsia" w:asciiTheme="minorEastAsia" w:hAnsiTheme="minorEastAsia" w:eastAsiaTheme="minorEastAsia"/>
          <w:snapToGrid w:val="0"/>
          <w:color w:val="000000" w:themeColor="text1"/>
          <w:kern w:val="0"/>
          <w:szCs w:val="21"/>
          <w14:textFill>
            <w14:solidFill>
              <w14:schemeClr w14:val="tx1"/>
            </w14:solidFill>
          </w14:textFill>
        </w:rPr>
        <w:t>分（占总分15</w:t>
      </w:r>
      <w:r>
        <w:rPr>
          <w:rFonts w:asciiTheme="minorEastAsia" w:hAnsiTheme="minorEastAsia" w:eastAsiaTheme="minorEastAsia"/>
          <w:snapToGrid w:val="0"/>
          <w:color w:val="000000" w:themeColor="text1"/>
          <w:kern w:val="0"/>
          <w:szCs w:val="21"/>
          <w14:textFill>
            <w14:solidFill>
              <w14:schemeClr w14:val="tx1"/>
            </w14:solidFill>
          </w14:textFill>
        </w:rPr>
        <w:t>%</w:t>
      </w:r>
      <w:r>
        <w:rPr>
          <w:rFonts w:hint="eastAsia" w:asciiTheme="minorEastAsia" w:hAnsiTheme="minorEastAsia" w:eastAsiaTheme="minorEastAsia"/>
          <w:snapToGrid w:val="0"/>
          <w:color w:val="000000" w:themeColor="text1"/>
          <w:kern w:val="0"/>
          <w:szCs w:val="21"/>
          <w14:textFill>
            <w14:solidFill>
              <w14:schemeClr w14:val="tx1"/>
            </w14:solidFill>
          </w14:textFill>
        </w:rPr>
        <w:t>），汇报完毕，裁判判分。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w:t>
      </w:r>
      <w:r>
        <w:rPr>
          <w:rFonts w:asciiTheme="minorEastAsia" w:hAnsiTheme="minorEastAsia" w:eastAsiaTheme="minorEastAsia"/>
          <w:snapToGrid w:val="0"/>
          <w:color w:val="000000" w:themeColor="text1"/>
          <w:kern w:val="0"/>
          <w:szCs w:val="21"/>
          <w14:textFill>
            <w14:solidFill>
              <w14:schemeClr w14:val="tx1"/>
            </w14:solidFill>
          </w14:textFill>
        </w:rPr>
        <w:t>.</w:t>
      </w:r>
      <w:r>
        <w:rPr>
          <w:rFonts w:hint="eastAsia" w:asciiTheme="minorEastAsia" w:hAnsiTheme="minorEastAsia" w:eastAsiaTheme="minorEastAsia"/>
          <w:snapToGrid w:val="0"/>
          <w:color w:val="000000" w:themeColor="text1"/>
          <w:kern w:val="0"/>
          <w:szCs w:val="21"/>
          <w14:textFill>
            <w14:solidFill>
              <w14:schemeClr w14:val="tx1"/>
            </w14:solidFill>
          </w14:textFill>
        </w:rPr>
        <w:t>个人总成绩核算</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个人总成绩</w:t>
      </w:r>
      <w:r>
        <w:rPr>
          <w:rFonts w:asciiTheme="minorEastAsia" w:hAnsiTheme="minorEastAsia" w:eastAsiaTheme="minorEastAsia"/>
          <w:snapToGrid w:val="0"/>
          <w:color w:val="000000" w:themeColor="text1"/>
          <w:kern w:val="0"/>
          <w:szCs w:val="21"/>
          <w14:textFill>
            <w14:solidFill>
              <w14:schemeClr w14:val="tx1"/>
            </w14:solidFill>
          </w14:textFill>
        </w:rPr>
        <w:t>=</w:t>
      </w:r>
      <w:r>
        <w:rPr>
          <w:rFonts w:hint="eastAsia" w:asciiTheme="minorEastAsia" w:hAnsiTheme="minorEastAsia" w:eastAsiaTheme="minorEastAsia"/>
          <w:snapToGrid w:val="0"/>
          <w:color w:val="000000" w:themeColor="text1"/>
          <w:kern w:val="0"/>
          <w:szCs w:val="21"/>
          <w14:textFill>
            <w14:solidFill>
              <w14:schemeClr w14:val="tx1"/>
            </w14:solidFill>
          </w14:textFill>
        </w:rPr>
        <w:t>理论考核模块成绩×15</w:t>
      </w:r>
      <w:r>
        <w:rPr>
          <w:rFonts w:asciiTheme="minorEastAsia" w:hAnsiTheme="minorEastAsia" w:eastAsiaTheme="minorEastAsia"/>
          <w:snapToGrid w:val="0"/>
          <w:color w:val="000000" w:themeColor="text1"/>
          <w:kern w:val="0"/>
          <w:szCs w:val="21"/>
          <w14:textFill>
            <w14:solidFill>
              <w14:schemeClr w14:val="tx1"/>
            </w14:solidFill>
          </w14:textFill>
        </w:rPr>
        <w:t>%+</w:t>
      </w:r>
      <w:r>
        <w:rPr>
          <w:rFonts w:hint="eastAsia" w:asciiTheme="minorEastAsia" w:hAnsiTheme="minorEastAsia" w:eastAsiaTheme="minorEastAsia"/>
          <w:snapToGrid w:val="0"/>
          <w:color w:val="000000" w:themeColor="text1"/>
          <w:kern w:val="0"/>
          <w:szCs w:val="21"/>
          <w14:textFill>
            <w14:solidFill>
              <w14:schemeClr w14:val="tx1"/>
            </w14:solidFill>
          </w14:textFill>
        </w:rPr>
        <w:t>货运代理模块成绩×30</w:t>
      </w:r>
      <w:r>
        <w:rPr>
          <w:rFonts w:asciiTheme="minorEastAsia" w:hAnsiTheme="minorEastAsia" w:eastAsiaTheme="minorEastAsia"/>
          <w:snapToGrid w:val="0"/>
          <w:color w:val="000000" w:themeColor="text1"/>
          <w:kern w:val="0"/>
          <w:szCs w:val="21"/>
          <w14:textFill>
            <w14:solidFill>
              <w14:schemeClr w14:val="tx1"/>
            </w14:solidFill>
          </w14:textFill>
        </w:rPr>
        <w:t>%+</w:t>
      </w:r>
      <w:r>
        <w:rPr>
          <w:rFonts w:hint="eastAsia" w:asciiTheme="minorEastAsia" w:hAnsiTheme="minorEastAsia" w:eastAsiaTheme="minorEastAsia"/>
          <w:snapToGrid w:val="0"/>
          <w:color w:val="000000" w:themeColor="text1"/>
          <w:kern w:val="0"/>
          <w:szCs w:val="21"/>
          <w14:textFill>
            <w14:solidFill>
              <w14:schemeClr w14:val="tx1"/>
            </w14:solidFill>
          </w14:textFill>
        </w:rPr>
        <w:t>运输业务设计与运营模块成绩×40</w:t>
      </w:r>
      <w:r>
        <w:rPr>
          <w:rFonts w:asciiTheme="minorEastAsia" w:hAnsiTheme="minorEastAsia" w:eastAsiaTheme="minorEastAsia"/>
          <w:snapToGrid w:val="0"/>
          <w:color w:val="000000" w:themeColor="text1"/>
          <w:kern w:val="0"/>
          <w:szCs w:val="21"/>
          <w14:textFill>
            <w14:solidFill>
              <w14:schemeClr w14:val="tx1"/>
            </w14:solidFill>
          </w14:textFill>
        </w:rPr>
        <w:t>%+</w:t>
      </w:r>
      <w:r>
        <w:rPr>
          <w:rFonts w:hint="eastAsia" w:asciiTheme="minorEastAsia" w:hAnsiTheme="minorEastAsia" w:eastAsiaTheme="minorEastAsia"/>
          <w:snapToGrid w:val="0"/>
          <w:color w:val="000000" w:themeColor="text1"/>
          <w:kern w:val="0"/>
          <w:szCs w:val="21"/>
          <w14:textFill>
            <w14:solidFill>
              <w14:schemeClr w14:val="tx1"/>
            </w14:solidFill>
          </w14:textFill>
        </w:rPr>
        <w:t xml:space="preserve"> PPT汇报成绩×15</w:t>
      </w:r>
      <w:r>
        <w:rPr>
          <w:rFonts w:asciiTheme="minorEastAsia" w:hAnsiTheme="minorEastAsia" w:eastAsiaTheme="minorEastAsia"/>
          <w:snapToGrid w:val="0"/>
          <w:color w:val="000000" w:themeColor="text1"/>
          <w:kern w:val="0"/>
          <w:szCs w:val="21"/>
          <w14:textFill>
            <w14:solidFill>
              <w14:schemeClr w14:val="tx1"/>
            </w14:solidFill>
          </w14:textFill>
        </w:rPr>
        <w:t>%</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6.成绩排名</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成绩排名以个人总成绩为准。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（二）成绩复核</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现场裁判、评分裁判和裁判长共同复核。</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（三）成绩公布</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成绩排名以个人总成绩为准，汇总个人总成绩进行排名，最终裁判组签字确认后，公布成绩。</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（四）评分标准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大赛本着“公正、公平、公开”的竞赛原则，为保证此赛项顺利进行，特制定本细则。物流服务师赛项评分细则如下：</w:t>
      </w:r>
    </w:p>
    <w:tbl>
      <w:tblPr>
        <w:tblStyle w:val="5"/>
        <w:tblW w:w="86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3"/>
        <w:gridCol w:w="5528"/>
        <w:gridCol w:w="20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8652" w:type="dxa"/>
            <w:gridSpan w:val="3"/>
            <w:tcBorders>
              <w:top w:val="single" w:color="000000" w:sz="4" w:space="0"/>
              <w:left w:val="single" w:color="000000" w:sz="4" w:space="0"/>
              <w:bottom w:val="single" w:color="000000" w:sz="4" w:space="0"/>
              <w:right w:val="single" w:color="auto" w:sz="4" w:space="0"/>
            </w:tcBorders>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理论考核模块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1033" w:type="dxa"/>
            <w:tcBorders>
              <w:top w:val="single" w:color="auto" w:sz="4" w:space="0"/>
            </w:tcBorders>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asciiTheme="minorEastAsia" w:hAnsiTheme="minorEastAsia" w:eastAsiaTheme="minorEastAsia"/>
                <w:snapToGrid w:val="0"/>
                <w:color w:val="000000" w:themeColor="text1"/>
                <w:kern w:val="0"/>
                <w:sz w:val="18"/>
                <w:szCs w:val="18"/>
                <w14:textFill>
                  <w14:solidFill>
                    <w14:schemeClr w14:val="tx1"/>
                  </w14:solidFill>
                </w14:textFill>
              </w:rPr>
              <w:t>运输</w:t>
            </w:r>
            <w:r>
              <w:rPr>
                <w:rFonts w:hint="eastAsia" w:asciiTheme="minorEastAsia" w:hAnsiTheme="minorEastAsia" w:eastAsiaTheme="minorEastAsia"/>
                <w:snapToGrid w:val="0"/>
                <w:color w:val="000000" w:themeColor="text1"/>
                <w:kern w:val="0"/>
                <w:sz w:val="18"/>
                <w:szCs w:val="18"/>
                <w14:textFill>
                  <w14:solidFill>
                    <w14:schemeClr w14:val="tx1"/>
                  </w14:solidFill>
                </w14:textFill>
              </w:rPr>
              <w:t>、</w:t>
            </w:r>
            <w:r>
              <w:rPr>
                <w:rFonts w:asciiTheme="minorEastAsia" w:hAnsiTheme="minorEastAsia" w:eastAsiaTheme="minorEastAsia"/>
                <w:snapToGrid w:val="0"/>
                <w:color w:val="000000" w:themeColor="text1"/>
                <w:kern w:val="0"/>
                <w:sz w:val="18"/>
                <w:szCs w:val="18"/>
                <w14:textFill>
                  <w14:solidFill>
                    <w14:schemeClr w14:val="tx1"/>
                  </w14:solidFill>
                </w14:textFill>
              </w:rPr>
              <w:t>货运</w:t>
            </w:r>
          </w:p>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asciiTheme="minorEastAsia" w:hAnsiTheme="minorEastAsia" w:eastAsiaTheme="minorEastAsia"/>
                <w:snapToGrid w:val="0"/>
                <w:color w:val="000000" w:themeColor="text1"/>
                <w:kern w:val="0"/>
                <w:sz w:val="18"/>
                <w:szCs w:val="18"/>
                <w14:textFill>
                  <w14:solidFill>
                    <w14:schemeClr w14:val="tx1"/>
                  </w14:solidFill>
                </w14:textFill>
              </w:rPr>
              <w:t>代理知识</w:t>
            </w:r>
          </w:p>
        </w:tc>
        <w:tc>
          <w:tcPr>
            <w:tcW w:w="5528" w:type="dxa"/>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判断题</w:t>
            </w:r>
            <w:r>
              <w:rPr>
                <w:rFonts w:hint="eastAsia" w:asciiTheme="minorEastAsia" w:hAnsiTheme="minorEastAsia" w:eastAsiaTheme="minorEastAsia"/>
                <w:snapToGrid w:val="0"/>
                <w:color w:val="000000" w:themeColor="text1"/>
                <w:kern w:val="0"/>
                <w:sz w:val="18"/>
                <w:szCs w:val="18"/>
                <w14:textFill>
                  <w14:solidFill>
                    <w14:schemeClr w14:val="tx1"/>
                  </w14:solidFill>
                </w14:textFill>
              </w:rPr>
              <w:tab/>
            </w: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共30小题，每错一题扣1分</w:t>
            </w:r>
          </w:p>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多选题</w:t>
            </w:r>
            <w:r>
              <w:rPr>
                <w:rFonts w:hint="eastAsia" w:asciiTheme="minorEastAsia" w:hAnsiTheme="minorEastAsia" w:eastAsiaTheme="minorEastAsia"/>
                <w:snapToGrid w:val="0"/>
                <w:color w:val="000000" w:themeColor="text1"/>
                <w:kern w:val="0"/>
                <w:sz w:val="18"/>
                <w:szCs w:val="18"/>
                <w14:textFill>
                  <w14:solidFill>
                    <w14:schemeClr w14:val="tx1"/>
                  </w14:solidFill>
                </w14:textFill>
              </w:rPr>
              <w:tab/>
            </w: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共30小题，每错一题扣1分</w:t>
            </w:r>
          </w:p>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单选题</w:t>
            </w:r>
            <w:r>
              <w:rPr>
                <w:rFonts w:hint="eastAsia" w:asciiTheme="minorEastAsia" w:hAnsiTheme="minorEastAsia" w:eastAsiaTheme="minorEastAsia"/>
                <w:snapToGrid w:val="0"/>
                <w:color w:val="000000" w:themeColor="text1"/>
                <w:kern w:val="0"/>
                <w:sz w:val="18"/>
                <w:szCs w:val="18"/>
                <w14:textFill>
                  <w14:solidFill>
                    <w14:schemeClr w14:val="tx1"/>
                  </w14:solidFill>
                </w14:textFill>
              </w:rPr>
              <w:tab/>
            </w: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共40小题，每错一题扣1分</w:t>
            </w:r>
          </w:p>
        </w:tc>
        <w:tc>
          <w:tcPr>
            <w:tcW w:w="2091" w:type="dxa"/>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100分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652" w:type="dxa"/>
            <w:gridSpan w:val="3"/>
            <w:tcBorders>
              <w:top w:val="single" w:color="000000" w:sz="4" w:space="0"/>
              <w:left w:val="single" w:color="000000" w:sz="4" w:space="0"/>
              <w:bottom w:val="single" w:color="000000" w:sz="4" w:space="0"/>
              <w:right w:val="single" w:color="auto" w:sz="4" w:space="0"/>
            </w:tcBorders>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货运代理模块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jc w:val="center"/>
        </w:trPr>
        <w:tc>
          <w:tcPr>
            <w:tcW w:w="1033" w:type="dxa"/>
            <w:tcBorders>
              <w:top w:val="single" w:color="auto" w:sz="4" w:space="0"/>
            </w:tcBorders>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海运业务</w:t>
            </w:r>
          </w:p>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综合业务</w:t>
            </w:r>
          </w:p>
        </w:tc>
        <w:tc>
          <w:tcPr>
            <w:tcW w:w="5528" w:type="dxa"/>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贸易术语考核、海运报价运算、海运单证填写</w:t>
            </w:r>
          </w:p>
        </w:tc>
        <w:tc>
          <w:tcPr>
            <w:tcW w:w="2091" w:type="dxa"/>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100分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jc w:val="center"/>
        </w:trPr>
        <w:tc>
          <w:tcPr>
            <w:tcW w:w="8652" w:type="dxa"/>
            <w:gridSpan w:val="3"/>
            <w:tcBorders>
              <w:right w:val="single" w:color="auto" w:sz="4" w:space="0"/>
            </w:tcBorders>
            <w:vAlign w:val="center"/>
          </w:tcPr>
          <w:p>
            <w:pPr>
              <w:adjustRightInd w:val="0"/>
              <w:snapToGrid w:val="0"/>
              <w:jc w:val="center"/>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运输业务设计与运营模块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1033" w:type="dxa"/>
            <w:tcBorders>
              <w:top w:val="single" w:color="auto" w:sz="4" w:space="0"/>
            </w:tcBorders>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客户开发</w:t>
            </w:r>
          </w:p>
        </w:tc>
        <w:tc>
          <w:tcPr>
            <w:tcW w:w="5528" w:type="dxa"/>
            <w:tcBorders>
              <w:top w:val="single" w:color="auto" w:sz="4" w:space="0"/>
            </w:tcBorders>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物流运营服务方案内容：分析客户需求与企业的业务优势和资源进行匹配物流运营。</w:t>
            </w:r>
          </w:p>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（1）按照方案模板结构进行编制。</w:t>
            </w:r>
          </w:p>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（2）方案逻辑严谨，语句通顺。</w:t>
            </w:r>
          </w:p>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（3）方案结构完整，美观，表现力强。</w:t>
            </w:r>
          </w:p>
        </w:tc>
        <w:tc>
          <w:tcPr>
            <w:tcW w:w="2091" w:type="dxa"/>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40分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033" w:type="dxa"/>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业务分析</w:t>
            </w:r>
          </w:p>
        </w:tc>
        <w:tc>
          <w:tcPr>
            <w:tcW w:w="5528" w:type="dxa"/>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（1）完成各项指标的统计与分析。</w:t>
            </w:r>
          </w:p>
        </w:tc>
        <w:tc>
          <w:tcPr>
            <w:tcW w:w="2091" w:type="dxa"/>
            <w:tcBorders>
              <w:right w:val="single" w:color="auto" w:sz="4" w:space="0"/>
            </w:tcBorders>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40分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1033" w:type="dxa"/>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PPT制作</w:t>
            </w:r>
          </w:p>
        </w:tc>
        <w:tc>
          <w:tcPr>
            <w:tcW w:w="5528" w:type="dxa"/>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（1）内容简洁凝练。</w:t>
            </w:r>
          </w:p>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（2）思路清晰。</w:t>
            </w:r>
          </w:p>
        </w:tc>
        <w:tc>
          <w:tcPr>
            <w:tcW w:w="2091" w:type="dxa"/>
            <w:tcBorders>
              <w:right w:val="single" w:color="auto" w:sz="4" w:space="0"/>
            </w:tcBorders>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20分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8652" w:type="dxa"/>
            <w:gridSpan w:val="3"/>
            <w:tcBorders>
              <w:right w:val="single" w:color="auto" w:sz="4" w:space="0"/>
            </w:tcBorders>
            <w:vAlign w:val="center"/>
          </w:tcPr>
          <w:p>
            <w:pPr>
              <w:adjustRightInd w:val="0"/>
              <w:snapToGrid w:val="0"/>
              <w:jc w:val="center"/>
              <w:rPr>
                <w:rFonts w:asciiTheme="minorEastAsia" w:hAnsiTheme="minorEastAsia" w:eastAsiaTheme="minorEastAsia"/>
                <w:b/>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b/>
                <w:snapToGrid w:val="0"/>
                <w:color w:val="000000" w:themeColor="text1"/>
                <w:kern w:val="0"/>
                <w:sz w:val="18"/>
                <w:szCs w:val="18"/>
                <w14:textFill>
                  <w14:solidFill>
                    <w14:schemeClr w14:val="tx1"/>
                  </w14:solidFill>
                </w14:textFill>
              </w:rPr>
              <w:t>PPT汇报模块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1" w:hRule="atLeast"/>
          <w:jc w:val="center"/>
        </w:trPr>
        <w:tc>
          <w:tcPr>
            <w:tcW w:w="1033" w:type="dxa"/>
            <w:tcBorders>
              <w:top w:val="single" w:color="auto" w:sz="4" w:space="0"/>
            </w:tcBorders>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PPT汇报</w:t>
            </w:r>
          </w:p>
        </w:tc>
        <w:tc>
          <w:tcPr>
            <w:tcW w:w="5528" w:type="dxa"/>
            <w:vAlign w:val="center"/>
          </w:tcPr>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（1）表述准确明了，富有感染力和说服力。</w:t>
            </w:r>
          </w:p>
          <w:p>
            <w:pPr>
              <w:numPr>
                <w:ilvl w:val="255"/>
                <w:numId w:val="0"/>
              </w:num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（2）表现大方得体、着装整洁、精神饱满。</w:t>
            </w:r>
          </w:p>
        </w:tc>
        <w:tc>
          <w:tcPr>
            <w:tcW w:w="2091" w:type="dxa"/>
            <w:vAlign w:val="center"/>
          </w:tcPr>
          <w:p>
            <w:pPr>
              <w:adjustRightInd w:val="0"/>
              <w:snapToGrid w:val="0"/>
              <w:rPr>
                <w:rFonts w:asciiTheme="minorEastAsia" w:hAnsiTheme="minorEastAsia" w:eastAsiaTheme="minorEastAsia"/>
                <w:snapToGrid w:val="0"/>
                <w:color w:val="000000" w:themeColor="text1"/>
                <w:kern w:val="0"/>
                <w:sz w:val="18"/>
                <w:szCs w:val="18"/>
                <w14:textFill>
                  <w14:solidFill>
                    <w14:schemeClr w14:val="tx1"/>
                  </w14:solidFill>
                </w14:textFill>
              </w:rPr>
            </w:pPr>
            <w:r>
              <w:rPr>
                <w:rFonts w:hint="eastAsia" w:asciiTheme="minorEastAsia" w:hAnsiTheme="minorEastAsia" w:eastAsiaTheme="minorEastAsia"/>
                <w:snapToGrid w:val="0"/>
                <w:color w:val="000000" w:themeColor="text1"/>
                <w:kern w:val="0"/>
                <w:sz w:val="18"/>
                <w:szCs w:val="18"/>
                <w14:textFill>
                  <w14:solidFill>
                    <w14:schemeClr w14:val="tx1"/>
                  </w14:solidFill>
                </w14:textFill>
              </w:rPr>
              <w:t>100分</w:t>
            </w:r>
          </w:p>
        </w:tc>
      </w:tr>
    </w:tbl>
    <w:p>
      <w:pPr>
        <w:adjustRightInd w:val="0"/>
        <w:snapToGrid w:val="0"/>
        <w:spacing w:before="156" w:beforeLines="50"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六、技术规范</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1．国际商会《2010国际贸易术语解释通则》</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2．《国际货运代理业务统计导则》（GB/T 22152-2008）</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3．《国际货运代理通用交易条件》（GB/T 22153-2008）</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4．《国际货运代理服务质量要求》（GB/T 22154-2008）</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5．《国际货运代理企业资质和等级评价指标》（GB/T 22155-2008）6．《国际货运代理作业规范》（GB/T 22151-2008）</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7．《国际贸易计量单位代码》（GB/T 17295-2008）</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8．《海上国际集装箱货物交付单证》（GB/T 18156-2000）</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9．《物流术语》</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10．《中华人民共和国进出口关税条例》</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11．《中华人民共和国进出口货物原产地条例》</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12．《中华人民共和国知识产权海关保护条例》</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13．《中华人民共和国海关进出口货物报关单填制规范》</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14．《关于跨境电子商务零售进出口商品有关监管事宜的公告》</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15．世界海关组织《商品名称及编码协调制度》</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16．中国海关《进出口税则商品及品目注释》</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17．世界海关组织《全球贸易安全与便利标准框架》</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18.《物流术语》（GB/T18354-2006）</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19.《企业物流成本构成与计算》（GB/T20523-2006）</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20.《计算机软件质量保证计划规范GB/T 12504-90》。</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21.《物流师国家职业资格标准》；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22. 企业安全生产管理规范等。</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七、竞赛规则</w:t>
      </w:r>
      <w:bookmarkEnd w:id="8"/>
      <w:bookmarkEnd w:id="9"/>
      <w:bookmarkEnd w:id="10"/>
    </w:p>
    <w:bookmarkEnd w:id="11"/>
    <w:bookmarkEnd w:id="12"/>
    <w:bookmarkEnd w:id="13"/>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（一）报名资格及参赛队伍要求</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1．参赛选手资格：参赛选手须为2021年度高等职业院校全日制在籍学生，性别不限,年龄不超过25周岁（当年），年龄计算截止时间为2021年 5月 1日。本科院校中的高职类全日制在籍学生可报名参赛。五年制高职学生报名参赛的，必须是四、五年级的在籍学生。</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2．参赛选手要求：竞赛以个人方式进行，每个院校可报1—3名参赛选手。每个参赛院校设领队1名。</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3．参赛要求：每个参赛队的选手必须为本院校在籍学生；每人可配1名指导教师，指导教师须为本院校专兼职教师。</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（二）熟悉场地与抽签</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1.根据赛项安排，在第一天上午9:30领队会议上由各校领队进行抽签。通过抽签确定各个人参赛号码。</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2.第一天早上抽签结束后，各参赛选手按照工作人员导引依次熟悉比赛场地。</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3.根据赛项安排，在第二天下午赛前半小时抽取PPT汇报顺序。</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（三）赛场要求</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1．参赛选手须提前30分钟进行检录，在比赛期间实行封闭管理，参赛选手迟到5分钟以弃权论。</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2．参赛选手不带任何参赛队及个人信息入场比赛，参赛选手不允许携带任何通讯及存储设备、纸质材料等物品进入赛场，赛场内提供必需用品。</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3．参赛选手进入赛场必须听从现场裁判人员的统一布置和安排，比赛期间必须严格遵守安全操作规程，确保人身和设备安全。</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4．比赛结束前10分钟，裁判长提醒比赛即将结束，当宣布比赛结束后，参赛选手必须马上停止一切操作，按要求位置站立等候撤离比赛工位指令。</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5．参赛选手提交的所有文件、单据等，凡要求参赛选手签字确认的，均签参赛选手抽签序号。</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6．竞赛中出现不文明和不安全等不合理等现象，均扣除一定分数。</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八、成绩评定及奖项设定</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（一）成绩评定</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1．大赛在赛项执委会领导下，赛项裁判组负责赛项成绩评定工作。</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2．大赛专家组负责大赛命题工作。</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3．裁判报到后，封闭管理。通过抽签方式，确定裁判执裁工位。</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4．为保证裁判执裁标准一致，裁判进行竞赛预演培训。</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5．竞赛成绩在所有竞赛完毕后提交大赛组委会。</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6．其它未涉及事项或突发事件，由大赛组委会负责解释或决定。</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 xml:space="preserve"> （二）奖项设定</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设个人一、二、三等奖，以赛项实际参赛选手总数为基数，一、二、三等奖获奖比例分别为10%、20%、30%。</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九、</w:t>
      </w:r>
      <w:bookmarkStart w:id="14" w:name="_Toc288058403"/>
      <w:bookmarkStart w:id="15" w:name="_Toc288050361"/>
      <w:bookmarkStart w:id="16" w:name="_Toc288059833"/>
      <w:r>
        <w:rPr>
          <w:rFonts w:hint="eastAsia" w:asciiTheme="minorEastAsia" w:hAnsiTheme="minorEastAsia" w:eastAsiaTheme="minorEastAsia"/>
          <w:b/>
          <w:snapToGrid w:val="0"/>
          <w:color w:val="000000" w:themeColor="text1"/>
          <w:kern w:val="0"/>
          <w:szCs w:val="21"/>
          <w14:textFill>
            <w14:solidFill>
              <w14:schemeClr w14:val="tx1"/>
            </w14:solidFill>
          </w14:textFill>
        </w:rPr>
        <w:t>竞赛须知</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（一）参赛队须知</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1.报名时选手为个人参赛，不接受组队报名。</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2.参赛选手在报名获得审核确认后，中途不能更换参赛选手，允许参赛选手缺席比赛。</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3.参赛选手按照大赛赛程安排，凭有效证件，按时参加检录和竞赛，如不能按时参赛以自动弃权处理。凭大赛组委会颁发的参赛证和有效身份证件参加比赛及相关活动。</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4.参赛选手符合安全生产及竞赛要求。</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5.参赛选手应自觉遵守赛场纪律，服从裁判、听从指挥、文明竞赛；持证进入赛场，禁止将通讯工具、自编电子或文字资料带入赛场。</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 xml:space="preserve">6.比赛过程中，选手休息、饮水或去卫生间等所用时间，一律计算在操作时间内。 </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7.参赛选手欲提前结束比赛，应向裁判员举手示意，比赛终止时间由裁判员记录，参赛队结束比赛后不得再进行任何操作。</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8.参赛选手不得在赛场内外吸烟，不听劝阻者给予通报批评或清退比赛现场，造成严重后果的将依法处理。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9.参赛选手参加实际操作竞赛前，应由参赛校进行安全教育。如发现问题应及时解决，无法解决的问题应及时向裁判员报告，裁判员视情况予以判定，并协调处理。对选手未发现的安全隐患或违章操作行为，裁判员应及时指出并予以纠正。</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（二）领队与指导教师须知</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1.指导教师经报名、审核后确定，一经确定不得更换。允许指导教师缺席比赛。</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2.指导教师在被允许进入比赛现场观摩时，应遵守赛场管理须知和赛场纪律。</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3.领队须准时参加赛前领队会议，并认真传达落实会议精神，确保准确及时召集参赛选手按时到达赛场。</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4.熟悉竞赛规程和赛项须知，领队负责做好本参赛队比赛期间的管理与组织工作。</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5.各参赛队领队、指导教师在比赛期间需保持通信畅通。</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6.贯彻执行大赛各项规定，各参赛队领队、指导教师在比赛前和比赛期间不允许私自接触裁判、与裁判谈论与比赛有关的内容，不得以任何形式影响裁判人员的评判。</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（三）参赛选手须知</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1.严格遵守技能竞赛规则、技能竞赛纪律和安全操作规程，尊重裁判和赛场工作人员，自觉维护赛场秩序。</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2.佩带参赛证件，并接受裁判的检查。</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3.进入赛场前须将手机等通讯工具交赛场相关人员妥善保管。选手不得携带任何纸质资料、通讯工具、电子书、存储设备、照相及录像设备等进赛场，若一经发现取消参赛资格。</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选手在收到开赛信号前不得开始或启动操作，竞赛过程中不准擅自离开赛场。竞赛结束时间到达，应立即停止编制计划和操作，不得拖延竞赛时间。竞赛完成后必须按裁判要求迅速离开赛场，不得在赛场内滞留。</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5.严禁作弊行为。</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6.爱护竞赛场所的设备、仪器等，不得人为损坏竞赛用仪器设备。</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7.比赛过程中，参赛选手须严格遵守操作过程和相关准则，保证设备及人身安全，并接受裁判员的监督和警示；若因设备故障导致选手中断或终止比赛，由大赛裁判长视具体情况做出裁决。</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8.在比赛过程中，参赛选手由于操作失误导致设备不能正常工作，或造成安全事故不能进行比赛的，将被终止比赛。</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9.尊重其他参赛队选手，体现“准物流人”的职业道德和修养。</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（四）工作人员须知</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1.工作人员必须服从统一领导，严格遵守竞赛纪律及时间安排，严守工作岗位，不得无故离岗。</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2.工作人员必须着装整齐，统一佩戴由大赛组委会签发的相应证件，精神饱满、热情服务。</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 xml:space="preserve">3.熟悉赛项指南，严格按照工作程序和有关规定办事，遇突发事件，按照安全工作预案，组织指挥人员疏散，确保人员安全。 </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4.工作人员未经允许不得随意进入比赛现场。</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5.选手提问，经允许后，可以提问不清楚的问题，裁判人员须正面回答。</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6.赛场内保持安静，不准吸烟。</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7.各赛场除裁判、赛场配备的工作人员以外，其他人员在竞赛时未经允许不得进入赛场。</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8.新闻媒体等进入赛场必须经过大赛组委会允许，并且听从现场工作人员的安排和管理，不能影响竞赛进行。</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9.负责各自赛区的裁判员和工作人员不得随意进入其它赛区。</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十、申诉与仲裁</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1.各参赛选手对不符合大赛和赛项规程规定的仪器、设备、工装、材料、物件、计算机软硬件、竞赛使用工具、用品，竞赛执裁、赛场管理、竞赛成绩，以及工作人员的不规范行为等，可向赛项仲裁组提出申诉。</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2.申诉主体为参赛队领队。</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3.申诉启动时，参赛选手向赛项仲裁工作组递交领队亲笔签字同意的书面报告。书面报告应对申诉事件的现象、发生时间、涉及人员、申诉依据等进行充分、实事求是的叙述。非书面申诉不予受理。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4.申诉应在比赛结束后2小时内向赛项仲裁工作组提出。超过时效不予受理。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5．赛项仲裁工作组在接到申诉报告后的2小时内组织复议，并及时将复议结果以书面形式告知申诉方。申诉方对复议结果仍有异议，可由领队向大赛仲裁委员会提出申诉。大赛仲裁委员会的仲裁结果为最终结果。</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6.申诉方不得以任何理由拒绝接收仲裁结果，不得以任何理由采取过激行为扰乱赛场秩序。仲裁结果由申诉人签收，不能代收，如在约定时间和地点申诉人离开，视为自行放弃申诉。</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7.申诉方可随时提出放弃申诉。</w:t>
      </w:r>
    </w:p>
    <w:bookmarkEnd w:id="14"/>
    <w:bookmarkEnd w:id="15"/>
    <w:bookmarkEnd w:id="16"/>
    <w:p>
      <w:pPr>
        <w:adjustRightInd w:val="0"/>
        <w:snapToGrid w:val="0"/>
        <w:spacing w:line="360" w:lineRule="auto"/>
        <w:rPr>
          <w:rFonts w:cs="宋体" w:asciiTheme="minorEastAsia" w:hAnsiTheme="minorEastAsia" w:eastAsiaTheme="minorEastAsia"/>
          <w:snapToGrid w:val="0"/>
          <w:color w:val="000000" w:themeColor="text1"/>
          <w:kern w:val="0"/>
          <w:szCs w:val="21"/>
          <w14:textFill>
            <w14:solidFill>
              <w14:schemeClr w14:val="tx1"/>
            </w14:solidFill>
          </w14:textFill>
        </w:rPr>
      </w:pPr>
    </w:p>
    <w:p>
      <w:pPr>
        <w:adjustRightInd w:val="0"/>
        <w:snapToGrid w:val="0"/>
        <w:spacing w:line="360" w:lineRule="auto"/>
        <w:ind w:firstLine="420" w:firstLineChars="200"/>
        <w:rPr>
          <w:rFonts w:cs="宋体" w:asciiTheme="minorEastAsia" w:hAnsiTheme="minorEastAsia" w:eastAsiaTheme="minorEastAsia"/>
          <w:snapToGrid w:val="0"/>
          <w:color w:val="000000" w:themeColor="text1"/>
          <w:kern w:val="0"/>
          <w:szCs w:val="21"/>
          <w14:textFill>
            <w14:solidFill>
              <w14:schemeClr w14:val="tx1"/>
            </w14:solidFill>
          </w14:textFill>
        </w:rPr>
      </w:pPr>
    </w:p>
    <w:p>
      <w:pPr>
        <w:adjustRightInd w:val="0"/>
        <w:snapToGrid w:val="0"/>
        <w:spacing w:line="360" w:lineRule="auto"/>
        <w:ind w:firstLine="4410" w:firstLineChars="21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物流服务师职业技能</w:t>
      </w:r>
      <w:r>
        <w:rPr>
          <w:rFonts w:asciiTheme="minorEastAsia" w:hAnsiTheme="minorEastAsia" w:eastAsiaTheme="minorEastAsia"/>
          <w:snapToGrid w:val="0"/>
          <w:color w:val="000000" w:themeColor="text1"/>
          <w:kern w:val="0"/>
          <w:szCs w:val="21"/>
          <w14:textFill>
            <w14:solidFill>
              <w14:schemeClr w14:val="tx1"/>
            </w14:solidFill>
          </w14:textFill>
        </w:rPr>
        <w:t>赛项</w:t>
      </w:r>
      <w:r>
        <w:rPr>
          <w:rFonts w:hint="eastAsia" w:asciiTheme="minorEastAsia" w:hAnsiTheme="minorEastAsia" w:eastAsiaTheme="minorEastAsia"/>
          <w:snapToGrid w:val="0"/>
          <w:color w:val="000000" w:themeColor="text1"/>
          <w:kern w:val="0"/>
          <w:szCs w:val="21"/>
          <w14:textFill>
            <w14:solidFill>
              <w14:schemeClr w14:val="tx1"/>
            </w14:solidFill>
          </w14:textFill>
        </w:rPr>
        <w:t>委员</w:t>
      </w:r>
      <w:r>
        <w:rPr>
          <w:rFonts w:asciiTheme="minorEastAsia" w:hAnsiTheme="minorEastAsia" w:eastAsiaTheme="minorEastAsia"/>
          <w:snapToGrid w:val="0"/>
          <w:color w:val="000000" w:themeColor="text1"/>
          <w:kern w:val="0"/>
          <w:szCs w:val="21"/>
          <w14:textFill>
            <w14:solidFill>
              <w14:schemeClr w14:val="tx1"/>
            </w14:solidFill>
          </w14:textFill>
        </w:rPr>
        <w:t>会</w:t>
      </w:r>
    </w:p>
    <w:p>
      <w:pPr>
        <w:adjustRightInd w:val="0"/>
        <w:snapToGrid w:val="0"/>
        <w:spacing w:line="360" w:lineRule="auto"/>
        <w:ind w:firstLine="5250" w:firstLineChars="2500"/>
        <w:rPr>
          <w:rFonts w:asciiTheme="minorEastAsia" w:hAnsiTheme="minorEastAsia" w:eastAsiaTheme="minorEastAsia"/>
          <w:snapToGrid w:val="0"/>
          <w:color w:val="000000" w:themeColor="text1"/>
          <w:kern w:val="0"/>
          <w:szCs w:val="21"/>
          <w14:textFill>
            <w14:solidFill>
              <w14:schemeClr w14:val="tx1"/>
            </w14:solidFill>
          </w14:textFill>
        </w:rPr>
      </w:pPr>
      <w:r>
        <w:rPr>
          <w:rFonts w:asciiTheme="minorEastAsia" w:hAnsiTheme="minorEastAsia" w:eastAsiaTheme="minorEastAsia"/>
          <w:snapToGrid w:val="0"/>
          <w:color w:val="000000" w:themeColor="text1"/>
          <w:kern w:val="0"/>
          <w:szCs w:val="21"/>
          <w14:textFill>
            <w14:solidFill>
              <w14:schemeClr w14:val="tx1"/>
            </w14:solidFill>
          </w14:textFill>
        </w:rPr>
        <w:t>20</w:t>
      </w:r>
      <w:r>
        <w:rPr>
          <w:rFonts w:hint="eastAsia" w:asciiTheme="minorEastAsia" w:hAnsiTheme="minorEastAsia" w:eastAsiaTheme="minorEastAsia"/>
          <w:snapToGrid w:val="0"/>
          <w:color w:val="000000" w:themeColor="text1"/>
          <w:kern w:val="0"/>
          <w:szCs w:val="21"/>
          <w14:textFill>
            <w14:solidFill>
              <w14:schemeClr w14:val="tx1"/>
            </w14:solidFill>
          </w14:textFill>
        </w:rPr>
        <w:t>21</w:t>
      </w:r>
      <w:r>
        <w:rPr>
          <w:rFonts w:asciiTheme="minorEastAsia" w:hAnsiTheme="minorEastAsia" w:eastAsiaTheme="minorEastAsia"/>
          <w:snapToGrid w:val="0"/>
          <w:color w:val="000000" w:themeColor="text1"/>
          <w:kern w:val="0"/>
          <w:szCs w:val="21"/>
          <w14:textFill>
            <w14:solidFill>
              <w14:schemeClr w14:val="tx1"/>
            </w14:solidFill>
          </w14:textFill>
        </w:rPr>
        <w:t>年</w:t>
      </w:r>
      <w:r>
        <w:rPr>
          <w:rFonts w:hint="eastAsia" w:asciiTheme="minorEastAsia" w:hAnsiTheme="minorEastAsia" w:eastAsiaTheme="minorEastAsia"/>
          <w:snapToGrid w:val="0"/>
          <w:color w:val="000000" w:themeColor="text1"/>
          <w:kern w:val="0"/>
          <w:szCs w:val="21"/>
          <w14:textFill>
            <w14:solidFill>
              <w14:schemeClr w14:val="tx1"/>
            </w14:solidFill>
          </w14:textFill>
        </w:rPr>
        <w:t>3</w:t>
      </w:r>
      <w:r>
        <w:rPr>
          <w:rFonts w:asciiTheme="minorEastAsia" w:hAnsiTheme="minorEastAsia" w:eastAsiaTheme="minorEastAsia"/>
          <w:snapToGrid w:val="0"/>
          <w:color w:val="000000" w:themeColor="text1"/>
          <w:kern w:val="0"/>
          <w:szCs w:val="21"/>
          <w14:textFill>
            <w14:solidFill>
              <w14:schemeClr w14:val="tx1"/>
            </w14:solidFill>
          </w14:textFill>
        </w:rPr>
        <w:t>月</w:t>
      </w:r>
      <w:r>
        <w:rPr>
          <w:rFonts w:hint="eastAsia" w:asciiTheme="minorEastAsia" w:hAnsiTheme="minorEastAsia" w:eastAsiaTheme="minorEastAsia"/>
          <w:snapToGrid w:val="0"/>
          <w:color w:val="000000" w:themeColor="text1"/>
          <w:kern w:val="0"/>
          <w:szCs w:val="21"/>
          <w14:textFill>
            <w14:solidFill>
              <w14:schemeClr w14:val="tx1"/>
            </w14:solidFill>
          </w14:textFill>
        </w:rPr>
        <w:t>18</w:t>
      </w:r>
      <w:r>
        <w:rPr>
          <w:rFonts w:asciiTheme="minorEastAsia" w:hAnsiTheme="minorEastAsia" w:eastAsiaTheme="minorEastAsia"/>
          <w:snapToGrid w:val="0"/>
          <w:color w:val="000000" w:themeColor="text1"/>
          <w:kern w:val="0"/>
          <w:szCs w:val="21"/>
          <w14:textFill>
            <w14:solidFill>
              <w14:schemeClr w14:val="tx1"/>
            </w14:solidFill>
          </w14:textFill>
        </w:rPr>
        <w:t>日</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6231051"/>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77"/>
    <w:rsid w:val="000272F4"/>
    <w:rsid w:val="001F4FE4"/>
    <w:rsid w:val="002022FF"/>
    <w:rsid w:val="0021601E"/>
    <w:rsid w:val="0025289C"/>
    <w:rsid w:val="00360977"/>
    <w:rsid w:val="00697EF5"/>
    <w:rsid w:val="006F4AB2"/>
    <w:rsid w:val="009E2474"/>
    <w:rsid w:val="00AB25F2"/>
    <w:rsid w:val="00AE1C6D"/>
    <w:rsid w:val="00B9043D"/>
    <w:rsid w:val="00BC6C50"/>
    <w:rsid w:val="00BE053C"/>
    <w:rsid w:val="00E15509"/>
    <w:rsid w:val="00F23C17"/>
    <w:rsid w:val="00FD1028"/>
    <w:rsid w:val="27EC44E7"/>
    <w:rsid w:val="28B83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0"/>
    <w:rPr>
      <w:rFonts w:ascii="宋体" w:hAnsi="Courier New"/>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Char"/>
    <w:basedOn w:val="6"/>
    <w:link w:val="2"/>
    <w:qFormat/>
    <w:uiPriority w:val="0"/>
    <w:rPr>
      <w:rFonts w:ascii="宋体" w:hAnsi="Courier New" w:eastAsia="宋体" w:cs="Times New Roman"/>
      <w:szCs w:val="24"/>
    </w:rPr>
  </w:style>
  <w:style w:type="character" w:customStyle="1" w:styleId="8">
    <w:name w:val="页眉 Char"/>
    <w:basedOn w:val="6"/>
    <w:link w:val="4"/>
    <w:qFormat/>
    <w:uiPriority w:val="99"/>
    <w:rPr>
      <w:rFonts w:ascii="Calibri" w:hAnsi="Calibri" w:eastAsia="宋体" w:cs="Times New Roman"/>
      <w:sz w:val="18"/>
      <w:szCs w:val="18"/>
    </w:rPr>
  </w:style>
  <w:style w:type="character" w:customStyle="1" w:styleId="9">
    <w:name w:val="页脚 Char"/>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841</Words>
  <Characters>4799</Characters>
  <Lines>39</Lines>
  <Paragraphs>11</Paragraphs>
  <TotalTime>2</TotalTime>
  <ScaleCrop>false</ScaleCrop>
  <LinksUpToDate>false</LinksUpToDate>
  <CharactersWithSpaces>5629</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2021-03-17T16:55:00Z</dcterms:created>
  <dc:creator>User</dc:creator>
  <cp:lastModifiedBy>李燕</cp:lastModifiedBy>
  <dcterms:modified xsi:type="dcterms:W3CDTF">2021-03-24T03:52:00Z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558C04D192BC4903975D0C7FB388CABC</vt:lpwstr>
  </property>
</Properties>
</file>